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Arial" w:cs="Arial" w:eastAsia="Arial" w:hAnsi="Arial"/>
          <w:b/>
          <w:bCs/>
          <w:color w:val="6B7280"/>
          <w:sz w:val="24"/>
          <w:szCs w:val="24"/>
        </w:rPr>
        <w:t xml:space="preserve">DATA ANALYTICS PROJECT REPORT</w:t>
      </w:r>
    </w:p>
    <w:p>
      <w:pPr>
        <w:pBdr>
          <w:bottom w:val="single" w:color="3B82F6" w:sz="8" w:space="4"/>
        </w:pBdr>
        <w:spacing w:after="200"/>
        <w:jc w:val="center"/>
      </w:pPr>
      <w:r>
        <w:rPr>
          <w:rFonts w:ascii="Arial" w:cs="Arial" w:eastAsia="Arial" w:hAnsi="Arial"/>
          <w:b/>
          <w:bCs/>
          <w:color w:val="1B3A6B"/>
          <w:sz w:val="56"/>
          <w:szCs w:val="56"/>
        </w:rPr>
        <w:t xml:space="preserve">Customer Behavior Analysis</w:t>
      </w:r>
    </w:p>
    <w:p>
      <w:pPr>
        <w:spacing w:after="60"/>
        <w:jc w:val="center"/>
      </w:pPr>
      <w:r>
        <w:rPr>
          <w:rFonts w:ascii="Arial" w:cs="Arial" w:eastAsia="Arial" w:hAnsi="Arial"/>
          <w:i/>
          <w:iCs/>
          <w:color w:val="2563EB"/>
          <w:sz w:val="24"/>
          <w:szCs w:val="24"/>
        </w:rPr>
        <w:t xml:space="preserve">Uncovering Purchasing Patterns, Revenue Drivers, and Customer Loyalty</w:t>
      </w:r>
    </w:p>
    <w:p>
      <w:pPr>
        <w:spacing w:after="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Industry</w:t>
            </w:r>
          </w:p>
        </w:tc>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Retail &amp; E-Commerce</w:t>
            </w:r>
          </w:p>
        </w:tc>
      </w:tr>
      <w:tr>
        <w:tc>
          <w:tcPr>
            <w:tcW w:type="dxa" w:w="3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Dataset</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3,900 Customer Transactions</w:t>
            </w:r>
          </w:p>
        </w:tc>
      </w:tr>
      <w:tr>
        <w:tc>
          <w:tcPr>
            <w:tcW w:type="dxa" w:w="3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Tools Used</w:t>
            </w:r>
          </w:p>
        </w:tc>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PostgreSQL, Power BI, Python</w:t>
            </w:r>
          </w:p>
        </w:tc>
      </w:tr>
      <w:tr>
        <w:tc>
          <w:tcPr>
            <w:tcW w:type="dxa" w:w="3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Analysis Period</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All Seasons (Annual)</w:t>
            </w:r>
          </w:p>
        </w:tc>
      </w:tr>
      <w:tr>
        <w:tc>
          <w:tcPr>
            <w:tcW w:type="dxa" w:w="3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Report Date</w:t>
            </w:r>
          </w:p>
        </w:tc>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2024</w:t>
            </w:r>
          </w:p>
        </w:tc>
      </w:tr>
    </w:tbl>
    <w:p>
      <w:pPr>
        <w:spacing w:after="1200"/>
      </w:pPr>
    </w:p>
    <w:p>
      <w:r>
        <w:br w:type="page"/>
      </w:r>
    </w:p>
    <w:p>
      <w:pPr>
        <w:pStyle w:val="Heading1"/>
        <w:spacing w:before="320" w:after="160"/>
      </w:pPr>
      <w:r>
        <w:rPr>
          <w:rFonts w:ascii="Arial" w:cs="Arial" w:eastAsia="Arial" w:hAnsi="Arial"/>
          <w:b/>
          <w:bCs/>
          <w:color w:val="1B3A6B"/>
          <w:sz w:val="34"/>
          <w:szCs w:val="34"/>
        </w:rPr>
        <w:t xml:space="preserve">1.  Problem Statement</w:t>
      </w:r>
    </w:p>
    <w:p>
      <w:pPr>
        <w:pBdr>
          <w:bottom w:val="single" w:color="3B82F6" w:sz="4" w:space="1"/>
        </w:pBdr>
        <w:spacing w:after="160"/>
      </w:pPr>
    </w:p>
    <w:p>
      <w:pPr>
        <w:spacing w:after="100"/>
        <w:jc w:val="left"/>
      </w:pPr>
      <w:r>
        <w:rPr>
          <w:rFonts w:ascii="Arial" w:cs="Arial" w:eastAsia="Arial" w:hAnsi="Arial"/>
          <w:b w:val="false"/>
          <w:bCs w:val="false"/>
          <w:i w:val="false"/>
          <w:iCs w:val="false"/>
          <w:color w:val="1E293B"/>
          <w:sz w:val="20"/>
          <w:szCs w:val="20"/>
        </w:rPr>
        <w:t xml:space="preserve">In the modern retail landscape, businesses generate massive volumes of transactional data every day. However, raw data alone provides little competitive advantage. The real value lies in transforming that data into actionable business intelligence that can drive smarter decisions across marketing, operations, and customer engagement.</w:t>
      </w:r>
    </w:p>
    <w:p>
      <w:pPr>
        <w:spacing w:after="100"/>
        <w:jc w:val="left"/>
      </w:pPr>
      <w:r>
        <w:rPr>
          <w:rFonts w:ascii="Arial" w:cs="Arial" w:eastAsia="Arial" w:hAnsi="Arial"/>
          <w:b w:val="false"/>
          <w:bCs w:val="false"/>
          <w:i w:val="false"/>
          <w:iCs w:val="false"/>
          <w:color w:val="1E293B"/>
          <w:sz w:val="20"/>
          <w:szCs w:val="20"/>
        </w:rPr>
        <w:t xml:space="preserve">This project addresses a critical business challenge: despite having a rich customer transaction dataset, the retail organization lacks a structured analytical framework to answer key questions about customer spending behavior, the effectiveness of discounts and subscriptions, product performance, and demographic revenue patterns.</w:t>
      </w:r>
    </w:p>
    <w:p>
      <w:pPr>
        <w:spacing w:after="80"/>
      </w:pPr>
    </w:p>
    <w:p>
      <w:pPr>
        <w:pStyle w:val="Heading2"/>
        <w:spacing w:before="200" w:after="100"/>
      </w:pPr>
      <w:r>
        <w:rPr>
          <w:rFonts w:ascii="Arial" w:cs="Arial" w:eastAsia="Arial" w:hAnsi="Arial"/>
          <w:b/>
          <w:bCs/>
          <w:color w:val="2563EB"/>
          <w:sz w:val="26"/>
          <w:szCs w:val="26"/>
        </w:rPr>
        <w:t xml:space="preserve">Core Business Problems</w:t>
      </w:r>
    </w:p>
    <w:p>
      <w:pPr>
        <w:pStyle w:val="ListParagraph"/>
        <w:numPr>
          <w:ilvl w:val="0"/>
          <w:numId w:val="2"/>
        </w:numPr>
        <w:spacing w:after="80"/>
      </w:pPr>
      <w:r>
        <w:rPr>
          <w:rFonts w:ascii="Arial" w:cs="Arial" w:eastAsia="Arial" w:hAnsi="Arial"/>
          <w:color w:val="1E293B"/>
          <w:sz w:val="20"/>
          <w:szCs w:val="20"/>
        </w:rPr>
        <w:t xml:space="preserve">Why do male customers generate 2x the revenue of female customers despite being 2x the population — is it behavioral or demographic?</w:t>
      </w:r>
    </w:p>
    <w:p>
      <w:pPr>
        <w:pStyle w:val="ListParagraph"/>
        <w:numPr>
          <w:ilvl w:val="0"/>
          <w:numId w:val="2"/>
        </w:numPr>
        <w:spacing w:after="80"/>
      </w:pPr>
      <w:r>
        <w:rPr>
          <w:rFonts w:ascii="Arial" w:cs="Arial" w:eastAsia="Arial" w:hAnsi="Arial"/>
          <w:color w:val="1E293B"/>
          <w:sz w:val="20"/>
          <w:szCs w:val="20"/>
        </w:rPr>
        <w:t xml:space="preserve">Are discount campaigns profitable, or are they training customers to wait for deals?</w:t>
      </w:r>
    </w:p>
    <w:p>
      <w:pPr>
        <w:pStyle w:val="ListParagraph"/>
        <w:numPr>
          <w:ilvl w:val="0"/>
          <w:numId w:val="2"/>
        </w:numPr>
        <w:spacing w:after="80"/>
      </w:pPr>
      <w:r>
        <w:rPr>
          <w:rFonts w:ascii="Arial" w:cs="Arial" w:eastAsia="Arial" w:hAnsi="Arial"/>
          <w:color w:val="1E293B"/>
          <w:sz w:val="20"/>
          <w:szCs w:val="20"/>
        </w:rPr>
        <w:t xml:space="preserve">Does a subscription model genuinely increase customer lifetime value or simply attract budget-conscious shoppers?</w:t>
      </w:r>
    </w:p>
    <w:p>
      <w:pPr>
        <w:pStyle w:val="ListParagraph"/>
        <w:numPr>
          <w:ilvl w:val="0"/>
          <w:numId w:val="2"/>
        </w:numPr>
        <w:spacing w:after="80"/>
      </w:pPr>
      <w:r>
        <w:rPr>
          <w:rFonts w:ascii="Arial" w:cs="Arial" w:eastAsia="Arial" w:hAnsi="Arial"/>
          <w:color w:val="1E293B"/>
          <w:sz w:val="20"/>
          <w:szCs w:val="20"/>
        </w:rPr>
        <w:t xml:space="preserve">Which product categories and items are underperforming relative to their purchase volume?</w:t>
      </w:r>
    </w:p>
    <w:p>
      <w:pPr>
        <w:pStyle w:val="ListParagraph"/>
        <w:numPr>
          <w:ilvl w:val="0"/>
          <w:numId w:val="2"/>
        </w:numPr>
        <w:spacing w:after="80"/>
      </w:pPr>
      <w:r>
        <w:rPr>
          <w:rFonts w:ascii="Arial" w:cs="Arial" w:eastAsia="Arial" w:hAnsi="Arial"/>
          <w:color w:val="1E293B"/>
          <w:sz w:val="20"/>
          <w:szCs w:val="20"/>
        </w:rPr>
        <w:t xml:space="preserve">How can customer segments (New, Returning, Loyal) be identified and targeted differently to maximize retention?</w:t>
      </w:r>
    </w:p>
    <w:p>
      <w:pPr>
        <w:spacing w:after="80"/>
      </w:pPr>
    </w:p>
    <w:p>
      <w:pPr>
        <w:spacing w:after="120"/>
        <w:jc w:val="left"/>
      </w:pPr>
      <w:r>
        <w:rPr>
          <w:rFonts w:ascii="Arial" w:cs="Arial" w:eastAsia="Arial" w:hAnsi="Arial"/>
          <w:b w:val="false"/>
          <w:bCs w:val="false"/>
          <w:i w:val="false"/>
          <w:iCs w:val="false"/>
          <w:color w:val="1E293B"/>
          <w:sz w:val="20"/>
          <w:szCs w:val="20"/>
        </w:rPr>
        <w:t xml:space="preserve">Without answers to these questions, marketing spend is inefficient, customer churn goes undetected, and revenue growth is left to chance. This analysis was designed to close that intelligence gap using SQL-driven analysis, visual dashboards, and evidence-based recommendations.</w:t>
      </w:r>
    </w:p>
    <w:p>
      <w:r>
        <w:br w:type="page"/>
      </w:r>
    </w:p>
    <w:p>
      <w:pPr>
        <w:pStyle w:val="Heading1"/>
        <w:spacing w:before="320" w:after="160"/>
      </w:pPr>
      <w:r>
        <w:rPr>
          <w:rFonts w:ascii="Arial" w:cs="Arial" w:eastAsia="Arial" w:hAnsi="Arial"/>
          <w:b/>
          <w:bCs/>
          <w:color w:val="1B3A6B"/>
          <w:sz w:val="34"/>
          <w:szCs w:val="34"/>
        </w:rPr>
        <w:t xml:space="preserve">2.  Dataset Description</w:t>
      </w:r>
    </w:p>
    <w:p>
      <w:pPr>
        <w:pBdr>
          <w:bottom w:val="single" w:color="3B82F6" w:sz="4" w:space="1"/>
        </w:pBdr>
        <w:spacing w:after="160"/>
      </w:pPr>
    </w:p>
    <w:p>
      <w:pPr>
        <w:spacing w:after="100"/>
        <w:jc w:val="left"/>
      </w:pPr>
      <w:r>
        <w:rPr>
          <w:rFonts w:ascii="Arial" w:cs="Arial" w:eastAsia="Arial" w:hAnsi="Arial"/>
          <w:b w:val="false"/>
          <w:bCs w:val="false"/>
          <w:i w:val="false"/>
          <w:iCs w:val="false"/>
          <w:color w:val="1E293B"/>
          <w:sz w:val="20"/>
          <w:szCs w:val="20"/>
        </w:rPr>
        <w:t xml:space="preserve">The dataset contains 3,900 anonymized customer transaction records sourced from a multi-category retail business operating across the United States. Each record represents a unique purchase transaction and captures behavioral, demographic, and transactional attributes.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536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Customer ID</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Integer</w:t>
            </w:r>
          </w:p>
        </w:tc>
        <w:tc>
          <w:tcPr>
            <w:tcW w:type="dxa" w:w="5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Unique identifier for each customer</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Age</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Integer</w:t>
            </w:r>
          </w:p>
        </w:tc>
        <w:tc>
          <w:tcPr>
            <w:tcW w:type="dxa" w:w="5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Customer age in years (Range: 18–70)</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Gender</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Male or Female</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Item Purchased</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Specific product purchased (e.g., Blouse, Jeans, Sandals)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Category</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Product category: Clothing, Footwear, Accessories, Outerwear</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Purchase Amount (USD)</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Decimal</w:t>
            </w:r>
          </w:p>
        </w:tc>
        <w:tc>
          <w:tcPr>
            <w:tcW w:type="dxa" w:w="5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Transaction value in US dollars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Location</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US state where the purchase was made</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Season</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Season of purchase: Spring, Summer, Fall, Winter</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Review Rating</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Decimal</w:t>
            </w:r>
          </w:p>
        </w:tc>
        <w:tc>
          <w:tcPr>
            <w:tcW w:type="dxa" w:w="5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Customer satisfaction score (1.0–5.0 scale)</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Subscription Status</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Whether the customer holds an active subscription (Yes/No)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Shipping Type</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Method of delivery: Standard, Express, Next Day Air, etc.</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Discount Applied</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Whether a discount was applied to the transaction (Yes/No)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Previous Purchases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Integer</w:t>
            </w:r>
          </w:p>
        </w:tc>
        <w:tc>
          <w:tcPr>
            <w:tcW w:type="dxa" w:w="5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Number of past transactions by the same customer</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Payment Method</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Mode of payment: Credit Card, PayPal, Cash, Venmo, etc.</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Frequency of Purchases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Text</w:t>
            </w:r>
          </w:p>
        </w:tc>
        <w:tc>
          <w:tcPr>
            <w:tcW w:type="dxa" w:w="5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Buying frequency: Weekly, Monthly, Quarterly, Annually, etc.</w:t>
            </w:r>
          </w:p>
        </w:tc>
      </w:tr>
    </w:tbl>
    <w:p>
      <w:pPr>
        <w:spacing w:after="120"/>
      </w:pPr>
    </w:p>
    <w:p>
      <w:pPr>
        <w:pStyle w:val="Heading2"/>
        <w:spacing w:before="200" w:after="100"/>
      </w:pPr>
      <w:r>
        <w:rPr>
          <w:rFonts w:ascii="Arial" w:cs="Arial" w:eastAsia="Arial" w:hAnsi="Arial"/>
          <w:b/>
          <w:bCs/>
          <w:color w:val="2563EB"/>
          <w:sz w:val="26"/>
          <w:szCs w:val="26"/>
        </w:rPr>
        <w:t xml:space="preserve">Dataset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2"/>
              <w:left w:val="single" w:color="2563EB" w:sz="2"/>
              <w:bottom w:val="single" w:color="2563EB" w:sz="2"/>
              <w:right w:val="single" w:color="2563EB" w:sz="2"/>
            </w:tcBorders>
            <w:shd w:fill="EFF6FF" w:val="clear"/>
            <w:tcMar>
              <w:top w:type="dxa" w:w="140"/>
              <w:left w:type="dxa" w:w="160"/>
              <w:bottom w:type="dxa" w:w="140"/>
              <w:right w:type="dxa" w:w="160"/>
            </w:tcMar>
            <w:vAlign w:val="center"/>
          </w:tcPr>
          <w:p>
            <w:pPr>
              <w:spacing w:after="40"/>
              <w:jc w:val="center"/>
            </w:pPr>
            <w:r>
              <w:rPr>
                <w:rFonts w:ascii="Arial" w:cs="Arial" w:eastAsia="Arial" w:hAnsi="Arial"/>
                <w:b/>
                <w:bCs/>
                <w:color w:val="1B3A6B"/>
                <w:sz w:val="36"/>
                <w:szCs w:val="36"/>
              </w:rPr>
              <w:t xml:space="preserve">3,900</w:t>
            </w:r>
          </w:p>
          <w:p>
            <w:pPr>
              <w:jc w:val="center"/>
            </w:pPr>
            <w:r>
              <w:rPr>
                <w:rFonts w:ascii="Arial" w:cs="Arial" w:eastAsia="Arial" w:hAnsi="Arial"/>
                <w:color w:val="6B7280"/>
                <w:sz w:val="18"/>
                <w:szCs w:val="18"/>
              </w:rPr>
              <w:t xml:space="preserve">Total Records</w:t>
            </w:r>
          </w:p>
        </w:tc>
        <w:tc>
          <w:tcPr>
            <w:tcW w:type="dxa" w:w="2340"/>
            <w:tcBorders>
              <w:top w:val="single" w:color="2563EB" w:sz="2"/>
              <w:left w:val="single" w:color="2563EB" w:sz="2"/>
              <w:bottom w:val="single" w:color="2563EB" w:sz="2"/>
              <w:right w:val="single" w:color="2563EB" w:sz="2"/>
            </w:tcBorders>
            <w:shd w:fill="EFF6FF" w:val="clear"/>
            <w:tcMar>
              <w:top w:type="dxa" w:w="140"/>
              <w:left w:type="dxa" w:w="160"/>
              <w:bottom w:type="dxa" w:w="140"/>
              <w:right w:type="dxa" w:w="160"/>
            </w:tcMar>
            <w:vAlign w:val="center"/>
          </w:tcPr>
          <w:p>
            <w:pPr>
              <w:spacing w:after="40"/>
              <w:jc w:val="center"/>
            </w:pPr>
            <w:r>
              <w:rPr>
                <w:rFonts w:ascii="Arial" w:cs="Arial" w:eastAsia="Arial" w:hAnsi="Arial"/>
                <w:b/>
                <w:bCs/>
                <w:color w:val="1B3A6B"/>
                <w:sz w:val="36"/>
                <w:szCs w:val="36"/>
              </w:rPr>
              <w:t xml:space="preserve">18</w:t>
            </w:r>
          </w:p>
          <w:p>
            <w:pPr>
              <w:jc w:val="center"/>
            </w:pPr>
            <w:r>
              <w:rPr>
                <w:rFonts w:ascii="Arial" w:cs="Arial" w:eastAsia="Arial" w:hAnsi="Arial"/>
                <w:color w:val="6B7280"/>
                <w:sz w:val="18"/>
                <w:szCs w:val="18"/>
              </w:rPr>
              <w:t xml:space="preserve">Features / Columns</w:t>
            </w:r>
          </w:p>
        </w:tc>
        <w:tc>
          <w:tcPr>
            <w:tcW w:type="dxa" w:w="2340"/>
            <w:tcBorders>
              <w:top w:val="single" w:color="2563EB" w:sz="2"/>
              <w:left w:val="single" w:color="2563EB" w:sz="2"/>
              <w:bottom w:val="single" w:color="2563EB" w:sz="2"/>
              <w:right w:val="single" w:color="2563EB" w:sz="2"/>
            </w:tcBorders>
            <w:shd w:fill="EFF6FF" w:val="clear"/>
            <w:tcMar>
              <w:top w:type="dxa" w:w="140"/>
              <w:left w:type="dxa" w:w="160"/>
              <w:bottom w:type="dxa" w:w="140"/>
              <w:right w:type="dxa" w:w="160"/>
            </w:tcMar>
            <w:vAlign w:val="center"/>
          </w:tcPr>
          <w:p>
            <w:pPr>
              <w:spacing w:after="40"/>
              <w:jc w:val="center"/>
            </w:pPr>
            <w:r>
              <w:rPr>
                <w:rFonts w:ascii="Arial" w:cs="Arial" w:eastAsia="Arial" w:hAnsi="Arial"/>
                <w:b/>
                <w:bCs/>
                <w:color w:val="1B3A6B"/>
                <w:sz w:val="36"/>
                <w:szCs w:val="36"/>
              </w:rPr>
              <w:t xml:space="preserve">$233,081</w:t>
            </w:r>
          </w:p>
          <w:p>
            <w:pPr>
              <w:jc w:val="center"/>
            </w:pPr>
            <w:r>
              <w:rPr>
                <w:rFonts w:ascii="Arial" w:cs="Arial" w:eastAsia="Arial" w:hAnsi="Arial"/>
                <w:color w:val="6B7280"/>
                <w:sz w:val="18"/>
                <w:szCs w:val="18"/>
              </w:rPr>
              <w:t xml:space="preserve">Total Revenue</w:t>
            </w:r>
          </w:p>
        </w:tc>
        <w:tc>
          <w:tcPr>
            <w:tcW w:type="dxa" w:w="2340"/>
            <w:tcBorders>
              <w:top w:val="single" w:color="2563EB" w:sz="2"/>
              <w:left w:val="single" w:color="2563EB" w:sz="2"/>
              <w:bottom w:val="single" w:color="2563EB" w:sz="2"/>
              <w:right w:val="single" w:color="2563EB" w:sz="2"/>
            </w:tcBorders>
            <w:shd w:fill="EFF6FF" w:val="clear"/>
            <w:tcMar>
              <w:top w:type="dxa" w:w="140"/>
              <w:left w:type="dxa" w:w="160"/>
              <w:bottom w:type="dxa" w:w="140"/>
              <w:right w:type="dxa" w:w="160"/>
            </w:tcMar>
            <w:vAlign w:val="center"/>
          </w:tcPr>
          <w:p>
            <w:pPr>
              <w:spacing w:after="40"/>
              <w:jc w:val="center"/>
            </w:pPr>
            <w:r>
              <w:rPr>
                <w:rFonts w:ascii="Arial" w:cs="Arial" w:eastAsia="Arial" w:hAnsi="Arial"/>
                <w:b/>
                <w:bCs/>
                <w:color w:val="1B3A6B"/>
                <w:sz w:val="36"/>
                <w:szCs w:val="36"/>
              </w:rPr>
              <w:t xml:space="preserve">$59.76</w:t>
            </w:r>
          </w:p>
          <w:p>
            <w:pPr>
              <w:jc w:val="center"/>
            </w:pPr>
            <w:r>
              <w:rPr>
                <w:rFonts w:ascii="Arial" w:cs="Arial" w:eastAsia="Arial" w:hAnsi="Arial"/>
                <w:color w:val="6B7280"/>
                <w:sz w:val="18"/>
                <w:szCs w:val="18"/>
              </w:rPr>
              <w:t xml:space="preserve">Avg Transaction Value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2"/>
              <w:left w:val="single" w:color="2563EB" w:sz="2"/>
              <w:bottom w:val="single" w:color="2563EB" w:sz="2"/>
              <w:right w:val="single" w:color="2563EB" w:sz="2"/>
            </w:tcBorders>
            <w:shd w:fill="EFF6FF" w:val="clear"/>
            <w:tcMar>
              <w:top w:type="dxa" w:w="140"/>
              <w:left w:type="dxa" w:w="160"/>
              <w:bottom w:type="dxa" w:w="140"/>
              <w:right w:type="dxa" w:w="160"/>
            </w:tcMar>
            <w:vAlign w:val="center"/>
          </w:tcPr>
          <w:p>
            <w:pPr>
              <w:spacing w:after="40"/>
              <w:jc w:val="center"/>
            </w:pPr>
            <w:r>
              <w:rPr>
                <w:rFonts w:ascii="Arial" w:cs="Arial" w:eastAsia="Arial" w:hAnsi="Arial"/>
                <w:b/>
                <w:bCs/>
                <w:color w:val="1B3A6B"/>
                <w:sz w:val="36"/>
                <w:szCs w:val="36"/>
              </w:rPr>
              <w:t xml:space="preserve">2,652</w:t>
            </w:r>
          </w:p>
          <w:p>
            <w:pPr>
              <w:jc w:val="center"/>
            </w:pPr>
            <w:r>
              <w:rPr>
                <w:rFonts w:ascii="Arial" w:cs="Arial" w:eastAsia="Arial" w:hAnsi="Arial"/>
                <w:color w:val="6B7280"/>
                <w:sz w:val="18"/>
                <w:szCs w:val="18"/>
              </w:rPr>
              <w:t xml:space="preserve">Male Customers (68%)</w:t>
            </w:r>
          </w:p>
        </w:tc>
        <w:tc>
          <w:tcPr>
            <w:tcW w:type="dxa" w:w="2340"/>
            <w:tcBorders>
              <w:top w:val="single" w:color="2563EB" w:sz="2"/>
              <w:left w:val="single" w:color="2563EB" w:sz="2"/>
              <w:bottom w:val="single" w:color="2563EB" w:sz="2"/>
              <w:right w:val="single" w:color="2563EB" w:sz="2"/>
            </w:tcBorders>
            <w:shd w:fill="EFF6FF" w:val="clear"/>
            <w:tcMar>
              <w:top w:type="dxa" w:w="140"/>
              <w:left w:type="dxa" w:w="160"/>
              <w:bottom w:type="dxa" w:w="140"/>
              <w:right w:type="dxa" w:w="160"/>
            </w:tcMar>
            <w:vAlign w:val="center"/>
          </w:tcPr>
          <w:p>
            <w:pPr>
              <w:spacing w:after="40"/>
              <w:jc w:val="center"/>
            </w:pPr>
            <w:r>
              <w:rPr>
                <w:rFonts w:ascii="Arial" w:cs="Arial" w:eastAsia="Arial" w:hAnsi="Arial"/>
                <w:b/>
                <w:bCs/>
                <w:color w:val="1B3A6B"/>
                <w:sz w:val="36"/>
                <w:szCs w:val="36"/>
              </w:rPr>
              <w:t xml:space="preserve">1,248</w:t>
            </w:r>
          </w:p>
          <w:p>
            <w:pPr>
              <w:jc w:val="center"/>
            </w:pPr>
            <w:r>
              <w:rPr>
                <w:rFonts w:ascii="Arial" w:cs="Arial" w:eastAsia="Arial" w:hAnsi="Arial"/>
                <w:color w:val="6B7280"/>
                <w:sz w:val="18"/>
                <w:szCs w:val="18"/>
              </w:rPr>
              <w:t xml:space="preserve">Female Customers (32%)</w:t>
            </w:r>
          </w:p>
        </w:tc>
        <w:tc>
          <w:tcPr>
            <w:tcW w:type="dxa" w:w="2340"/>
            <w:tcBorders>
              <w:top w:val="single" w:color="2563EB" w:sz="2"/>
              <w:left w:val="single" w:color="2563EB" w:sz="2"/>
              <w:bottom w:val="single" w:color="2563EB" w:sz="2"/>
              <w:right w:val="single" w:color="2563EB" w:sz="2"/>
            </w:tcBorders>
            <w:shd w:fill="EFF6FF" w:val="clear"/>
            <w:tcMar>
              <w:top w:type="dxa" w:w="140"/>
              <w:left w:type="dxa" w:w="160"/>
              <w:bottom w:type="dxa" w:w="140"/>
              <w:right w:type="dxa" w:w="160"/>
            </w:tcMar>
            <w:vAlign w:val="center"/>
          </w:tcPr>
          <w:p>
            <w:pPr>
              <w:spacing w:after="40"/>
              <w:jc w:val="center"/>
            </w:pPr>
            <w:r>
              <w:rPr>
                <w:rFonts w:ascii="Arial" w:cs="Arial" w:eastAsia="Arial" w:hAnsi="Arial"/>
                <w:b/>
                <w:bCs/>
                <w:color w:val="1B3A6B"/>
                <w:sz w:val="36"/>
                <w:szCs w:val="36"/>
              </w:rPr>
              <w:t xml:space="preserve">3.75</w:t>
            </w:r>
          </w:p>
          <w:p>
            <w:pPr>
              <w:jc w:val="center"/>
            </w:pPr>
            <w:r>
              <w:rPr>
                <w:rFonts w:ascii="Arial" w:cs="Arial" w:eastAsia="Arial" w:hAnsi="Arial"/>
                <w:color w:val="6B7280"/>
                <w:sz w:val="18"/>
                <w:szCs w:val="18"/>
              </w:rPr>
              <w:t xml:space="preserve">Avg Review Rating</w:t>
            </w:r>
          </w:p>
        </w:tc>
        <w:tc>
          <w:tcPr>
            <w:tcW w:type="dxa" w:w="2340"/>
            <w:tcBorders>
              <w:top w:val="single" w:color="2563EB" w:sz="2"/>
              <w:left w:val="single" w:color="2563EB" w:sz="2"/>
              <w:bottom w:val="single" w:color="2563EB" w:sz="2"/>
              <w:right w:val="single" w:color="2563EB" w:sz="2"/>
            </w:tcBorders>
            <w:shd w:fill="EFF6FF" w:val="clear"/>
            <w:tcMar>
              <w:top w:type="dxa" w:w="140"/>
              <w:left w:type="dxa" w:w="160"/>
              <w:bottom w:type="dxa" w:w="140"/>
              <w:right w:type="dxa" w:w="160"/>
            </w:tcMar>
            <w:vAlign w:val="center"/>
          </w:tcPr>
          <w:p>
            <w:pPr>
              <w:spacing w:after="40"/>
              <w:jc w:val="center"/>
            </w:pPr>
            <w:r>
              <w:rPr>
                <w:rFonts w:ascii="Arial" w:cs="Arial" w:eastAsia="Arial" w:hAnsi="Arial"/>
                <w:b/>
                <w:bCs/>
                <w:color w:val="1B3A6B"/>
                <w:sz w:val="36"/>
                <w:szCs w:val="36"/>
              </w:rPr>
              <w:t xml:space="preserve">25.4</w:t>
            </w:r>
          </w:p>
          <w:p>
            <w:pPr>
              <w:jc w:val="center"/>
            </w:pPr>
            <w:r>
              <w:rPr>
                <w:rFonts w:ascii="Arial" w:cs="Arial" w:eastAsia="Arial" w:hAnsi="Arial"/>
                <w:color w:val="6B7280"/>
                <w:sz w:val="18"/>
                <w:szCs w:val="18"/>
              </w:rPr>
              <w:t xml:space="preserve">Avg Previous Purchases</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The dataset spans four product categories, six payment methods, six shipping types, and four seasons — making it a comprehensive foundation for multi-dimensional behavioral analysis.</w:t>
      </w:r>
    </w:p>
    <w:p>
      <w:r>
        <w:br w:type="page"/>
      </w:r>
    </w:p>
    <w:p>
      <w:pPr>
        <w:pStyle w:val="Heading1"/>
        <w:spacing w:before="320" w:after="160"/>
      </w:pPr>
      <w:r>
        <w:rPr>
          <w:rFonts w:ascii="Arial" w:cs="Arial" w:eastAsia="Arial" w:hAnsi="Arial"/>
          <w:b/>
          <w:bCs/>
          <w:color w:val="1B3A6B"/>
          <w:sz w:val="34"/>
          <w:szCs w:val="34"/>
        </w:rPr>
        <w:t xml:space="preserve">3.  Business Questions</w:t>
      </w:r>
    </w:p>
    <w:p>
      <w:pPr>
        <w:pBdr>
          <w:bottom w:val="single" w:color="3B82F6" w:sz="4" w:space="1"/>
        </w:pBdr>
        <w:spacing w:after="160"/>
      </w:pPr>
    </w:p>
    <w:p>
      <w:pPr>
        <w:spacing w:after="100"/>
        <w:jc w:val="left"/>
      </w:pPr>
      <w:r>
        <w:rPr>
          <w:rFonts w:ascii="Arial" w:cs="Arial" w:eastAsia="Arial" w:hAnsi="Arial"/>
          <w:b w:val="false"/>
          <w:bCs w:val="false"/>
          <w:i w:val="false"/>
          <w:iCs w:val="false"/>
          <w:color w:val="1E293B"/>
          <w:sz w:val="20"/>
          <w:szCs w:val="20"/>
        </w:rPr>
        <w:t xml:space="preserve">The following 10 business questions were formulated to extract actionable insights across revenue, product, customer loyalty, and marketing dimensions: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8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Business Area</w:t>
            </w:r>
          </w:p>
        </w:tc>
        <w:tc>
          <w:tcPr>
            <w:tcW w:type="dxa" w:w="586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Question</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Q1</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Revenue &amp; Demographics</w:t>
            </w:r>
          </w:p>
        </w:tc>
        <w:tc>
          <w:tcPr>
            <w:tcW w:type="dxa" w:w="58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What is the total revenue generated by male vs. female customers?</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Q2</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Discount Effectiveness</w:t>
            </w:r>
          </w:p>
        </w:tc>
        <w:tc>
          <w:tcPr>
            <w:tcW w:type="dxa" w:w="58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Which customers used a discount but still spent more than the average purchase amount?</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Q3</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Product Performance</w:t>
            </w:r>
          </w:p>
        </w:tc>
        <w:tc>
          <w:tcPr>
            <w:tcW w:type="dxa" w:w="58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Which are the top 5 products with the highest average review rating?</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Q4</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Shipping &amp; Behavior</w:t>
            </w:r>
          </w:p>
        </w:tc>
        <w:tc>
          <w:tcPr>
            <w:tcW w:type="dxa" w:w="58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Compare average purchase amounts between Standard and Express shipping.</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Q5</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Subscription Impact</w:t>
            </w:r>
          </w:p>
        </w:tc>
        <w:tc>
          <w:tcPr>
            <w:tcW w:type="dxa" w:w="58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Do subscribed customers spend more? Compare average spend and total revenue.</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Q6</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Discount Strategy</w:t>
            </w:r>
          </w:p>
        </w:tc>
        <w:tc>
          <w:tcPr>
            <w:tcW w:type="dxa" w:w="58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Which 5 products have the highest percentage of purchases with discounts applied?</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Q7</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Customer Segmentation</w:t>
            </w:r>
          </w:p>
        </w:tc>
        <w:tc>
          <w:tcPr>
            <w:tcW w:type="dxa" w:w="58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Segment customers into New, Returning, and Loyal based on previous purchases.</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Q8</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Category Analysis</w:t>
            </w:r>
          </w:p>
        </w:tc>
        <w:tc>
          <w:tcPr>
            <w:tcW w:type="dxa" w:w="58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What are the top 3 most purchased products within each category?</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Q9</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Loyalty &amp; Retention</w:t>
            </w:r>
          </w:p>
        </w:tc>
        <w:tc>
          <w:tcPr>
            <w:tcW w:type="dxa" w:w="58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Are repeat buyers (&gt;5 previous purchases) likely to hold subscriptions?</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Q10</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Age-Based Revenue</w:t>
            </w:r>
          </w:p>
        </w:tc>
        <w:tc>
          <w:tcPr>
            <w:tcW w:type="dxa" w:w="58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What is the revenue contribution of each age group?</w:t>
            </w:r>
          </w:p>
        </w:tc>
      </w:tr>
    </w:tbl>
    <w:p>
      <w:r>
        <w:br w:type="page"/>
      </w:r>
    </w:p>
    <w:p>
      <w:pPr>
        <w:pStyle w:val="Heading1"/>
        <w:spacing w:before="320" w:after="160"/>
      </w:pPr>
      <w:r>
        <w:rPr>
          <w:rFonts w:ascii="Arial" w:cs="Arial" w:eastAsia="Arial" w:hAnsi="Arial"/>
          <w:b/>
          <w:bCs/>
          <w:color w:val="1B3A6B"/>
          <w:sz w:val="34"/>
          <w:szCs w:val="34"/>
        </w:rPr>
        <w:t xml:space="preserve">4.  Data Cleaning Process</w:t>
      </w:r>
    </w:p>
    <w:p>
      <w:pPr>
        <w:pBdr>
          <w:bottom w:val="single" w:color="3B82F6" w:sz="4" w:space="1"/>
        </w:pBdr>
        <w:spacing w:after="160"/>
      </w:pPr>
    </w:p>
    <w:p>
      <w:pPr>
        <w:spacing w:after="100"/>
        <w:jc w:val="left"/>
      </w:pPr>
      <w:r>
        <w:rPr>
          <w:rFonts w:ascii="Arial" w:cs="Arial" w:eastAsia="Arial" w:hAnsi="Arial"/>
          <w:b w:val="false"/>
          <w:bCs w:val="false"/>
          <w:i w:val="false"/>
          <w:iCs w:val="false"/>
          <w:color w:val="1E293B"/>
          <w:sz w:val="20"/>
          <w:szCs w:val="20"/>
        </w:rPr>
        <w:t xml:space="preserve">Before performing analysis, the dataset was inspected for data quality issues. The following cleaning and validation steps were executed to ensure integrity of results:</w:t>
      </w:r>
    </w:p>
    <w:p>
      <w:pPr>
        <w:spacing w:after="80"/>
      </w:pPr>
    </w:p>
    <w:p>
      <w:pPr>
        <w:pStyle w:val="Heading2"/>
        <w:spacing w:before="200" w:after="100"/>
      </w:pPr>
      <w:r>
        <w:rPr>
          <w:rFonts w:ascii="Arial" w:cs="Arial" w:eastAsia="Arial" w:hAnsi="Arial"/>
          <w:b/>
          <w:bCs/>
          <w:color w:val="2563EB"/>
          <w:sz w:val="26"/>
          <w:szCs w:val="26"/>
        </w:rPr>
        <w:t xml:space="preserve">4.1  Null &amp; Missing Value Check</w:t>
      </w:r>
    </w:p>
    <w:p>
      <w:pPr>
        <w:spacing w:after="100"/>
        <w:jc w:val="left"/>
      </w:pPr>
      <w:r>
        <w:rPr>
          <w:rFonts w:ascii="Arial" w:cs="Arial" w:eastAsia="Arial" w:hAnsi="Arial"/>
          <w:b w:val="false"/>
          <w:bCs w:val="false"/>
          <w:i w:val="false"/>
          <w:iCs w:val="false"/>
          <w:color w:val="1E293B"/>
          <w:sz w:val="20"/>
          <w:szCs w:val="20"/>
        </w:rPr>
        <w:t xml:space="preserve">A preliminary audit was conducted on all 18 columns. The Review Rating column had a small number of blank entries (&lt; 0.1%) which were excluded from rating-based calculations using WHERE clause filters. All other columns were complete with no null values identified.</w:t>
      </w:r>
    </w:p>
    <w:p>
      <w:pPr>
        <w:spacing w:after="80"/>
      </w:pPr>
    </w:p>
    <w:p>
      <w:pPr>
        <w:pStyle w:val="Heading2"/>
        <w:spacing w:before="200" w:after="100"/>
      </w:pPr>
      <w:r>
        <w:rPr>
          <w:rFonts w:ascii="Arial" w:cs="Arial" w:eastAsia="Arial" w:hAnsi="Arial"/>
          <w:b/>
          <w:bCs/>
          <w:color w:val="2563EB"/>
          <w:sz w:val="26"/>
          <w:szCs w:val="26"/>
        </w:rPr>
        <w:t xml:space="preserve">4.2  Data Type Validation</w:t>
      </w:r>
    </w:p>
    <w:p>
      <w:pPr>
        <w:spacing w:after="100"/>
        <w:jc w:val="left"/>
      </w:pPr>
      <w:r>
        <w:rPr>
          <w:rFonts w:ascii="Arial" w:cs="Arial" w:eastAsia="Arial" w:hAnsi="Arial"/>
          <w:b w:val="false"/>
          <w:bCs w:val="false"/>
          <w:i w:val="false"/>
          <w:iCs w:val="false"/>
          <w:color w:val="1E293B"/>
          <w:sz w:val="20"/>
          <w:szCs w:val="20"/>
        </w:rPr>
        <w:t xml:space="preserve">The Purchase Amount column was confirmed as a numeric type. The Review Rating column required explicit casting to numeric in PostgreSQL (review_rating::numeric) due to its storage as a text/varchar field in the raw import. Boolean-style columns (Discount Applied, Subscription Status, Promo Code Used) were stored as text and handled using string comparisons (= 'Yes').</w:t>
      </w:r>
    </w:p>
    <w:p>
      <w:pPr>
        <w:spacing w:after="80"/>
      </w:pPr>
    </w:p>
    <w:p>
      <w:pPr>
        <w:pStyle w:val="Heading2"/>
        <w:spacing w:before="200" w:after="100"/>
      </w:pPr>
      <w:r>
        <w:rPr>
          <w:rFonts w:ascii="Arial" w:cs="Arial" w:eastAsia="Arial" w:hAnsi="Arial"/>
          <w:b/>
          <w:bCs/>
          <w:color w:val="2563EB"/>
          <w:sz w:val="26"/>
          <w:szCs w:val="26"/>
        </w:rPr>
        <w:t xml:space="preserve">4.3  Duplicate Record Check</w:t>
      </w:r>
    </w:p>
    <w:p>
      <w:pPr>
        <w:spacing w:after="100"/>
        <w:jc w:val="left"/>
      </w:pPr>
      <w:r>
        <w:rPr>
          <w:rFonts w:ascii="Arial" w:cs="Arial" w:eastAsia="Arial" w:hAnsi="Arial"/>
          <w:b w:val="false"/>
          <w:bCs w:val="false"/>
          <w:i w:val="false"/>
          <w:iCs w:val="false"/>
          <w:color w:val="1E293B"/>
          <w:sz w:val="20"/>
          <w:szCs w:val="20"/>
        </w:rPr>
        <w:t xml:space="preserve">Customer IDs were validated for uniqueness. Each of the 3,900 records corresponds to a distinct transaction. No duplicate Customer IDs were found.</w:t>
      </w:r>
    </w:p>
    <w:p>
      <w:pPr>
        <w:spacing w:after="80"/>
      </w:pPr>
    </w:p>
    <w:p>
      <w:pPr>
        <w:pStyle w:val="Heading2"/>
        <w:spacing w:before="200" w:after="100"/>
      </w:pPr>
      <w:r>
        <w:rPr>
          <w:rFonts w:ascii="Arial" w:cs="Arial" w:eastAsia="Arial" w:hAnsi="Arial"/>
          <w:b/>
          <w:bCs/>
          <w:color w:val="2563EB"/>
          <w:sz w:val="26"/>
          <w:szCs w:val="26"/>
        </w:rPr>
        <w:t xml:space="preserve">4.4  Age Group Derivation</w:t>
      </w:r>
    </w:p>
    <w:p>
      <w:pPr>
        <w:spacing w:after="100"/>
        <w:jc w:val="left"/>
      </w:pPr>
      <w:r>
        <w:rPr>
          <w:rFonts w:ascii="Arial" w:cs="Arial" w:eastAsia="Arial" w:hAnsi="Arial"/>
          <w:b w:val="false"/>
          <w:bCs w:val="false"/>
          <w:i w:val="false"/>
          <w:iCs w:val="false"/>
          <w:color w:val="1E293B"/>
          <w:sz w:val="20"/>
          <w:szCs w:val="20"/>
        </w:rPr>
        <w:t xml:space="preserve">The raw Age column was transformed into discrete age bands for Q10 analysis. Groups were defined as: 18–24, 25–34, 35–44, 45–54, 55–64, and 65+. This derived column was created using a CASE WHEN expression inside a SQL CTE.</w:t>
      </w:r>
    </w:p>
    <w:p>
      <w:pPr>
        <w:spacing w:after="80"/>
      </w:pPr>
    </w:p>
    <w:p>
      <w:pPr>
        <w:pStyle w:val="Heading2"/>
        <w:spacing w:before="200" w:after="100"/>
      </w:pPr>
      <w:r>
        <w:rPr>
          <w:rFonts w:ascii="Arial" w:cs="Arial" w:eastAsia="Arial" w:hAnsi="Arial"/>
          <w:b/>
          <w:bCs/>
          <w:color w:val="2563EB"/>
          <w:sz w:val="26"/>
          <w:szCs w:val="26"/>
        </w:rPr>
        <w:t xml:space="preserve">4.5  Customer Segmentation Logic</w:t>
      </w:r>
    </w:p>
    <w:p>
      <w:pPr>
        <w:spacing w:after="100"/>
        <w:jc w:val="left"/>
      </w:pPr>
      <w:r>
        <w:rPr>
          <w:rFonts w:ascii="Arial" w:cs="Arial" w:eastAsia="Arial" w:hAnsi="Arial"/>
          <w:b w:val="false"/>
          <w:bCs w:val="false"/>
          <w:i w:val="false"/>
          <w:iCs w:val="false"/>
          <w:color w:val="1E293B"/>
          <w:sz w:val="20"/>
          <w:szCs w:val="20"/>
        </w:rPr>
        <w:t xml:space="preserve">For Q7, a customer loyalty tier was derived from the Previous Purchases column using a CASE WHEN statement embedded in a CTE: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B82F6" w:sz="6"/>
              <w:bottom w:val="single" w:color="334155" w:sz="1"/>
              <w:right w:val="single" w:color="334155" w:sz="1"/>
            </w:tcBorders>
            <w:shd w:fill="1E293B" w:val="clear"/>
            <w:tcMar>
              <w:top w:type="dxa" w:w="120"/>
              <w:left w:type="dxa" w:w="200"/>
              <w:bottom w:type="dxa" w:w="120"/>
              <w:right w:type="dxa" w:w="160"/>
            </w:tcMar>
          </w:tcPr>
          <w:p>
            <w:pPr>
              <w:spacing w:after="40"/>
            </w:pPr>
            <w:r>
              <w:rPr>
                <w:rFonts w:ascii="Courier New" w:cs="Courier New" w:eastAsia="Courier New" w:hAnsi="Courier New"/>
                <w:color w:val="94A3B8"/>
                <w:sz w:val="17"/>
                <w:szCs w:val="17"/>
              </w:rPr>
              <w:t xml:space="preserve">-- Customer Segmentation Logic (Q7)</w:t>
            </w:r>
          </w:p>
          <w:p>
            <w:pPr>
              <w:spacing w:after="40"/>
            </w:pPr>
            <w:r>
              <w:rPr>
                <w:rFonts w:ascii="Courier New" w:cs="Courier New" w:eastAsia="Courier New" w:hAnsi="Courier New"/>
                <w:color w:val="7DD3FC"/>
                <w:sz w:val="17"/>
                <w:szCs w:val="17"/>
              </w:rPr>
              <w:t xml:space="preserve">WITH customer_type AS (</w:t>
            </w:r>
          </w:p>
          <w:p>
            <w:pPr>
              <w:spacing w:after="40"/>
            </w:pPr>
            <w:r>
              <w:rPr>
                <w:rFonts w:ascii="Courier New" w:cs="Courier New" w:eastAsia="Courier New" w:hAnsi="Courier New"/>
                <w:color w:val="7DD3FC"/>
                <w:sz w:val="17"/>
                <w:szCs w:val="17"/>
              </w:rPr>
              <w:t xml:space="preserve">  SELECT customer_id, previous_purchases,</w:t>
            </w:r>
          </w:p>
          <w:p>
            <w:pPr>
              <w:spacing w:after="40"/>
            </w:pPr>
            <w:r>
              <w:rPr>
                <w:rFonts w:ascii="Courier New" w:cs="Courier New" w:eastAsia="Courier New" w:hAnsi="Courier New"/>
                <w:color w:val="7DD3FC"/>
                <w:sz w:val="17"/>
                <w:szCs w:val="17"/>
              </w:rPr>
              <w:t xml:space="preserve">    CASE</w:t>
            </w:r>
          </w:p>
          <w:p>
            <w:pPr>
              <w:spacing w:after="40"/>
            </w:pPr>
            <w:r>
              <w:rPr>
                <w:rFonts w:ascii="Courier New" w:cs="Courier New" w:eastAsia="Courier New" w:hAnsi="Courier New"/>
                <w:color w:val="7DD3FC"/>
                <w:sz w:val="17"/>
                <w:szCs w:val="17"/>
              </w:rPr>
              <w:t xml:space="preserve">      WHEN previous_purchases = 1 THEN 'New'</w:t>
            </w:r>
          </w:p>
          <w:p>
            <w:pPr>
              <w:spacing w:after="40"/>
            </w:pPr>
            <w:r>
              <w:rPr>
                <w:rFonts w:ascii="Courier New" w:cs="Courier New" w:eastAsia="Courier New" w:hAnsi="Courier New"/>
                <w:color w:val="7DD3FC"/>
                <w:sz w:val="17"/>
                <w:szCs w:val="17"/>
              </w:rPr>
              <w:t xml:space="preserve">      WHEN previous_purchases BETWEEN 2 AND 10 THEN 'Returning'</w:t>
            </w:r>
          </w:p>
          <w:p>
            <w:pPr>
              <w:spacing w:after="40"/>
            </w:pPr>
            <w:r>
              <w:rPr>
                <w:rFonts w:ascii="Courier New" w:cs="Courier New" w:eastAsia="Courier New" w:hAnsi="Courier New"/>
                <w:color w:val="7DD3FC"/>
                <w:sz w:val="17"/>
                <w:szCs w:val="17"/>
              </w:rPr>
              <w:t xml:space="preserve">      ELSE 'Loyal'</w:t>
            </w:r>
          </w:p>
          <w:p>
            <w:pPr>
              <w:spacing w:after="40"/>
            </w:pPr>
            <w:r>
              <w:rPr>
                <w:rFonts w:ascii="Courier New" w:cs="Courier New" w:eastAsia="Courier New" w:hAnsi="Courier New"/>
                <w:color w:val="7DD3FC"/>
                <w:sz w:val="17"/>
                <w:szCs w:val="17"/>
              </w:rPr>
              <w:t xml:space="preserve">    END AS customer_segment</w:t>
            </w:r>
          </w:p>
          <w:p>
            <w:pPr>
              <w:spacing w:after="40"/>
            </w:pPr>
            <w:r>
              <w:rPr>
                <w:rFonts w:ascii="Courier New" w:cs="Courier New" w:eastAsia="Courier New" w:hAnsi="Courier New"/>
                <w:color w:val="7DD3FC"/>
                <w:sz w:val="17"/>
                <w:szCs w:val="17"/>
              </w:rPr>
              <w:t xml:space="preserve">  FROM customer</w:t>
            </w:r>
          </w:p>
          <w:p>
            <w:pPr>
              <w:spacing w:after="40"/>
            </w:pPr>
            <w:r>
              <w:rPr>
                <w:rFonts w:ascii="Courier New" w:cs="Courier New" w:eastAsia="Courier New" w:hAnsi="Courier New"/>
                <w:color w:val="7DD3FC"/>
                <w:sz w:val="17"/>
                <w:szCs w:val="17"/>
              </w:rPr>
              <w:t xml:space="preserve">)</w:t>
            </w:r>
          </w:p>
          <w:p>
            <w:pPr>
              <w:spacing w:after="40"/>
            </w:pPr>
            <w:r>
              <w:rPr>
                <w:rFonts w:ascii="Courier New" w:cs="Courier New" w:eastAsia="Courier New" w:hAnsi="Courier New"/>
                <w:color w:val="7DD3FC"/>
                <w:sz w:val="17"/>
                <w:szCs w:val="17"/>
              </w:rPr>
              <w:t xml:space="preserve">SELECT customer_segment, COUNT(*) AS "Number of Customers"</w:t>
            </w:r>
          </w:p>
          <w:p>
            <w:pPr>
              <w:spacing w:after="40"/>
            </w:pPr>
            <w:r>
              <w:rPr>
                <w:rFonts w:ascii="Courier New" w:cs="Courier New" w:eastAsia="Courier New" w:hAnsi="Courier New"/>
                <w:color w:val="7DD3FC"/>
                <w:sz w:val="17"/>
                <w:szCs w:val="17"/>
              </w:rPr>
              <w:t xml:space="preserve">FROM customer_type</w:t>
            </w:r>
          </w:p>
          <w:p>
            <w:pPr>
              <w:spacing w:after="40"/>
            </w:pPr>
            <w:r>
              <w:rPr>
                <w:rFonts w:ascii="Courier New" w:cs="Courier New" w:eastAsia="Courier New" w:hAnsi="Courier New"/>
                <w:color w:val="7DD3FC"/>
                <w:sz w:val="17"/>
                <w:szCs w:val="17"/>
              </w:rPr>
              <w:t xml:space="preserve">GROUP BY customer_segment;</w:t>
            </w:r>
          </w:p>
        </w:tc>
      </w:tr>
    </w:tbl>
    <w:p>
      <w:pPr>
        <w:spacing w:after="80"/>
      </w:pPr>
    </w:p>
    <w:p>
      <w:pPr>
        <w:pStyle w:val="Heading2"/>
        <w:spacing w:before="200" w:after="100"/>
      </w:pPr>
      <w:r>
        <w:rPr>
          <w:rFonts w:ascii="Arial" w:cs="Arial" w:eastAsia="Arial" w:hAnsi="Arial"/>
          <w:b/>
          <w:bCs/>
          <w:color w:val="2563EB"/>
          <w:sz w:val="26"/>
          <w:szCs w:val="26"/>
        </w:rPr>
        <w:t xml:space="preserve">4.6  Outlier Assessment</w:t>
      </w:r>
    </w:p>
    <w:p>
      <w:pPr>
        <w:spacing w:after="100"/>
        <w:jc w:val="left"/>
      </w:pPr>
      <w:r>
        <w:rPr>
          <w:rFonts w:ascii="Arial" w:cs="Arial" w:eastAsia="Arial" w:hAnsi="Arial"/>
          <w:b w:val="false"/>
          <w:bCs w:val="false"/>
          <w:i w:val="false"/>
          <w:iCs w:val="false"/>
          <w:color w:val="1E293B"/>
          <w:sz w:val="20"/>
          <w:szCs w:val="20"/>
        </w:rPr>
        <w:t xml:space="preserve">Purchase amounts ranged from a minimum of $20 to a maximum of $100. No extreme outliers or negative values were detected. All values fall within a realistic retail transaction range, indicating the dataset is clean and suitable for direct analysis without outlier removal.</w:t>
      </w:r>
    </w:p>
    <w:p>
      <w:r>
        <w:br w:type="page"/>
      </w:r>
    </w:p>
    <w:p>
      <w:pPr>
        <w:pStyle w:val="Heading1"/>
        <w:spacing w:before="320" w:after="160"/>
      </w:pPr>
      <w:r>
        <w:rPr>
          <w:rFonts w:ascii="Arial" w:cs="Arial" w:eastAsia="Arial" w:hAnsi="Arial"/>
          <w:b/>
          <w:bCs/>
          <w:color w:val="1B3A6B"/>
          <w:sz w:val="34"/>
          <w:szCs w:val="34"/>
        </w:rPr>
        <w:t xml:space="preserve">5.  Data Analysis (SQL)</w:t>
      </w:r>
    </w:p>
    <w:p>
      <w:pPr>
        <w:pBdr>
          <w:bottom w:val="single" w:color="3B82F6" w:sz="4" w:space="1"/>
        </w:pBdr>
        <w:spacing w:after="160"/>
      </w:pPr>
    </w:p>
    <w:p>
      <w:pPr>
        <w:spacing w:after="100"/>
        <w:jc w:val="left"/>
      </w:pPr>
      <w:r>
        <w:rPr>
          <w:rFonts w:ascii="Arial" w:cs="Arial" w:eastAsia="Arial" w:hAnsi="Arial"/>
          <w:b w:val="false"/>
          <w:bCs w:val="false"/>
          <w:i w:val="false"/>
          <w:iCs w:val="false"/>
          <w:color w:val="1E293B"/>
          <w:sz w:val="20"/>
          <w:szCs w:val="20"/>
        </w:rPr>
        <w:t xml:space="preserve">All 10 business questions were answered using PostgreSQL queries. Below are the queries, results, and interpretation for each question.</w:t>
      </w:r>
    </w:p>
    <w:p>
      <w:pPr>
        <w:spacing w:after="80"/>
      </w:pPr>
    </w:p>
    <w:p>
      <w:pPr>
        <w:pStyle w:val="Heading2"/>
        <w:spacing w:before="200" w:after="100"/>
      </w:pPr>
      <w:r>
        <w:rPr>
          <w:rFonts w:ascii="Arial" w:cs="Arial" w:eastAsia="Arial" w:hAnsi="Arial"/>
          <w:b/>
          <w:bCs/>
          <w:color w:val="2563EB"/>
          <w:sz w:val="26"/>
          <w:szCs w:val="26"/>
        </w:rPr>
        <w:t xml:space="preserve">Q1 — Revenue by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B82F6" w:sz="6"/>
              <w:bottom w:val="single" w:color="334155" w:sz="1"/>
              <w:right w:val="single" w:color="334155" w:sz="1"/>
            </w:tcBorders>
            <w:shd w:fill="1E293B" w:val="clear"/>
            <w:tcMar>
              <w:top w:type="dxa" w:w="120"/>
              <w:left w:type="dxa" w:w="200"/>
              <w:bottom w:type="dxa" w:w="120"/>
              <w:right w:type="dxa" w:w="160"/>
            </w:tcMar>
          </w:tcPr>
          <w:p>
            <w:pPr>
              <w:spacing w:after="40"/>
            </w:pPr>
            <w:r>
              <w:rPr>
                <w:rFonts w:ascii="Courier New" w:cs="Courier New" w:eastAsia="Courier New" w:hAnsi="Courier New"/>
                <w:color w:val="94A3B8"/>
                <w:sz w:val="17"/>
                <w:szCs w:val="17"/>
              </w:rPr>
              <w:t xml:space="preserve">-- Q1: Total revenue by gender</w:t>
            </w:r>
          </w:p>
          <w:p>
            <w:pPr>
              <w:spacing w:after="40"/>
            </w:pPr>
            <w:r>
              <w:rPr>
                <w:rFonts w:ascii="Courier New" w:cs="Courier New" w:eastAsia="Courier New" w:hAnsi="Courier New"/>
                <w:color w:val="7DD3FC"/>
                <w:sz w:val="17"/>
                <w:szCs w:val="17"/>
              </w:rPr>
              <w:t xml:space="preserve">SELECT gender, SUM(purchase_amount) AS revenue</w:t>
            </w:r>
          </w:p>
          <w:p>
            <w:pPr>
              <w:spacing w:after="40"/>
            </w:pPr>
            <w:r>
              <w:rPr>
                <w:rFonts w:ascii="Courier New" w:cs="Courier New" w:eastAsia="Courier New" w:hAnsi="Courier New"/>
                <w:color w:val="7DD3FC"/>
                <w:sz w:val="17"/>
                <w:szCs w:val="17"/>
              </w:rPr>
              <w:t xml:space="preserve">FROM customer</w:t>
            </w:r>
          </w:p>
          <w:p>
            <w:pPr>
              <w:spacing w:after="40"/>
            </w:pPr>
            <w:r>
              <w:rPr>
                <w:rFonts w:ascii="Courier New" w:cs="Courier New" w:eastAsia="Courier New" w:hAnsi="Courier New"/>
                <w:color w:val="7DD3FC"/>
                <w:sz w:val="17"/>
                <w:szCs w:val="17"/>
              </w:rPr>
              <w:t xml:space="preserve">GROUP BY gender;</w:t>
            </w:r>
          </w:p>
        </w:tc>
      </w:tr>
    </w:tbl>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tblGrid>
      <w:tr>
        <w:trPr>
          <w:tblHeader/>
        </w:trPr>
        <w:tc>
          <w:tcPr>
            <w:tcW w:type="dxa" w:w="2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Gender</w:t>
            </w:r>
          </w:p>
        </w:tc>
        <w:tc>
          <w:tcPr>
            <w:tcW w:type="dxa" w:w="15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Customers</w:t>
            </w:r>
          </w:p>
        </w:tc>
        <w:tc>
          <w:tcPr>
            <w:tcW w:type="dxa" w:w="15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Total Revenue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Male</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2,652</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$157,890</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Female</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1,248</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$75,191</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Male customers account for 67.7% of total revenue ($157,890 vs $75,191). While the male customer base is also larger (68%), their average transaction value is broadly similar, suggesting the revenue gap is volume-driven rather than behavioral.</w:t>
      </w:r>
    </w:p>
    <w:p>
      <w:pPr>
        <w:spacing w:after="100"/>
      </w:pPr>
    </w:p>
    <w:p>
      <w:pPr>
        <w:pStyle w:val="Heading2"/>
        <w:spacing w:before="200" w:after="100"/>
      </w:pPr>
      <w:r>
        <w:rPr>
          <w:rFonts w:ascii="Arial" w:cs="Arial" w:eastAsia="Arial" w:hAnsi="Arial"/>
          <w:b/>
          <w:bCs/>
          <w:color w:val="2563EB"/>
          <w:sz w:val="26"/>
          <w:szCs w:val="26"/>
        </w:rPr>
        <w:t xml:space="preserve">Q2 — High-Value Discount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B82F6" w:sz="6"/>
              <w:bottom w:val="single" w:color="334155" w:sz="1"/>
              <w:right w:val="single" w:color="334155" w:sz="1"/>
            </w:tcBorders>
            <w:shd w:fill="1E293B" w:val="clear"/>
            <w:tcMar>
              <w:top w:type="dxa" w:w="120"/>
              <w:left w:type="dxa" w:w="200"/>
              <w:bottom w:type="dxa" w:w="120"/>
              <w:right w:type="dxa" w:w="160"/>
            </w:tcMar>
          </w:tcPr>
          <w:p>
            <w:pPr>
              <w:spacing w:after="40"/>
            </w:pPr>
            <w:r>
              <w:rPr>
                <w:rFonts w:ascii="Courier New" w:cs="Courier New" w:eastAsia="Courier New" w:hAnsi="Courier New"/>
                <w:color w:val="94A3B8"/>
                <w:sz w:val="17"/>
                <w:szCs w:val="17"/>
              </w:rPr>
              <w:t xml:space="preserve">-- Q2: Customers using discounts but spending above average ($59.76)</w:t>
            </w:r>
          </w:p>
          <w:p>
            <w:pPr>
              <w:spacing w:after="40"/>
            </w:pPr>
            <w:r>
              <w:rPr>
                <w:rFonts w:ascii="Courier New" w:cs="Courier New" w:eastAsia="Courier New" w:hAnsi="Courier New"/>
                <w:color w:val="7DD3FC"/>
                <w:sz w:val="17"/>
                <w:szCs w:val="17"/>
              </w:rPr>
              <w:t xml:space="preserve">SELECT customer_id, purchase_amount FROM customer</w:t>
            </w:r>
          </w:p>
          <w:p>
            <w:pPr>
              <w:spacing w:after="40"/>
            </w:pPr>
            <w:r>
              <w:rPr>
                <w:rFonts w:ascii="Courier New" w:cs="Courier New" w:eastAsia="Courier New" w:hAnsi="Courier New"/>
                <w:color w:val="7DD3FC"/>
                <w:sz w:val="17"/>
                <w:szCs w:val="17"/>
              </w:rPr>
              <w:t xml:space="preserve">WHERE discount_applied = 'Yes'</w:t>
            </w:r>
          </w:p>
          <w:p>
            <w:pPr>
              <w:spacing w:after="40"/>
            </w:pPr>
            <w:r>
              <w:rPr>
                <w:rFonts w:ascii="Courier New" w:cs="Courier New" w:eastAsia="Courier New" w:hAnsi="Courier New"/>
                <w:color w:val="7DD3FC"/>
                <w:sz w:val="17"/>
                <w:szCs w:val="17"/>
              </w:rPr>
              <w:t xml:space="preserve">  AND purchase_amount &gt; (SELECT AVG(purchase_amount) FROM customer);</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Result: 839 customers (out of 1,677 discount users = 50.03%) spent above the average of $59.76 even after applying a discount. This indicates that discounts are not simply attracting low-ticket buyers — half of discount users are still high-value customers.</w:t>
      </w:r>
    </w:p>
    <w:p>
      <w:pPr>
        <w:spacing w:after="100"/>
      </w:pPr>
    </w:p>
    <w:p>
      <w:pPr>
        <w:pStyle w:val="Heading2"/>
        <w:spacing w:before="200" w:after="100"/>
      </w:pPr>
      <w:r>
        <w:rPr>
          <w:rFonts w:ascii="Arial" w:cs="Arial" w:eastAsia="Arial" w:hAnsi="Arial"/>
          <w:b/>
          <w:bCs/>
          <w:color w:val="2563EB"/>
          <w:sz w:val="26"/>
          <w:szCs w:val="26"/>
        </w:rPr>
        <w:t xml:space="preserve">Q3 — Top 5 Products by Review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B82F6" w:sz="6"/>
              <w:bottom w:val="single" w:color="334155" w:sz="1"/>
              <w:right w:val="single" w:color="334155" w:sz="1"/>
            </w:tcBorders>
            <w:shd w:fill="1E293B" w:val="clear"/>
            <w:tcMar>
              <w:top w:type="dxa" w:w="120"/>
              <w:left w:type="dxa" w:w="200"/>
              <w:bottom w:type="dxa" w:w="120"/>
              <w:right w:type="dxa" w:w="160"/>
            </w:tcMar>
          </w:tcPr>
          <w:p>
            <w:pPr>
              <w:spacing w:after="40"/>
            </w:pPr>
            <w:r>
              <w:rPr>
                <w:rFonts w:ascii="Courier New" w:cs="Courier New" w:eastAsia="Courier New" w:hAnsi="Courier New"/>
                <w:color w:val="94A3B8"/>
                <w:sz w:val="17"/>
                <w:szCs w:val="17"/>
              </w:rPr>
              <w:t xml:space="preserve">-- Q3: Top 5 products by average review rating</w:t>
            </w:r>
          </w:p>
          <w:p>
            <w:pPr>
              <w:spacing w:after="40"/>
            </w:pPr>
            <w:r>
              <w:rPr>
                <w:rFonts w:ascii="Courier New" w:cs="Courier New" w:eastAsia="Courier New" w:hAnsi="Courier New"/>
                <w:color w:val="7DD3FC"/>
                <w:sz w:val="17"/>
                <w:szCs w:val="17"/>
              </w:rPr>
              <w:t xml:space="preserve">SELECT item_purchased,</w:t>
            </w:r>
          </w:p>
          <w:p>
            <w:pPr>
              <w:spacing w:after="40"/>
            </w:pPr>
            <w:r>
              <w:rPr>
                <w:rFonts w:ascii="Courier New" w:cs="Courier New" w:eastAsia="Courier New" w:hAnsi="Courier New"/>
                <w:color w:val="7DD3FC"/>
                <w:sz w:val="17"/>
                <w:szCs w:val="17"/>
              </w:rPr>
              <w:t xml:space="preserve">  ROUND(AVG(review_rating::numeric), 2) AS "Average Product Rating"</w:t>
            </w:r>
          </w:p>
          <w:p>
            <w:pPr>
              <w:spacing w:after="40"/>
            </w:pPr>
            <w:r>
              <w:rPr>
                <w:rFonts w:ascii="Courier New" w:cs="Courier New" w:eastAsia="Courier New" w:hAnsi="Courier New"/>
                <w:color w:val="7DD3FC"/>
                <w:sz w:val="17"/>
                <w:szCs w:val="17"/>
              </w:rPr>
              <w:t xml:space="preserve">FROM customer</w:t>
            </w:r>
          </w:p>
          <w:p>
            <w:pPr>
              <w:spacing w:after="40"/>
            </w:pPr>
            <w:r>
              <w:rPr>
                <w:rFonts w:ascii="Courier New" w:cs="Courier New" w:eastAsia="Courier New" w:hAnsi="Courier New"/>
                <w:color w:val="7DD3FC"/>
                <w:sz w:val="17"/>
                <w:szCs w:val="17"/>
              </w:rPr>
              <w:t xml:space="preserve">GROUP BY item_purchased</w:t>
            </w:r>
          </w:p>
          <w:p>
            <w:pPr>
              <w:spacing w:after="40"/>
            </w:pPr>
            <w:r>
              <w:rPr>
                <w:rFonts w:ascii="Courier New" w:cs="Courier New" w:eastAsia="Courier New" w:hAnsi="Courier New"/>
                <w:color w:val="7DD3FC"/>
                <w:sz w:val="17"/>
                <w:szCs w:val="17"/>
              </w:rPr>
              <w:t xml:space="preserve">ORDER BY AVG(review_rating) DESC LIMIT 5;</w:t>
            </w:r>
          </w:p>
        </w:tc>
      </w:tr>
    </w:tbl>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500"/>
      </w:tblGrid>
      <w:tr>
        <w:trPr>
          <w:tblHeader/>
        </w:trPr>
        <w:tc>
          <w:tcPr>
            <w:tcW w:type="dxa" w:w="7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Rank</w:t>
            </w:r>
          </w:p>
        </w:tc>
        <w:tc>
          <w:tcPr>
            <w:tcW w:type="dxa" w:w="28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Product</w:t>
            </w:r>
          </w:p>
        </w:tc>
        <w:tc>
          <w:tcPr>
            <w:tcW w:type="dxa" w:w="15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Avg Rating</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Gloves</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3.86 / 5.00</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Sandals</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3.84 / 5.00</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Boots</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3.82 / 5.00</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Hat</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3.80 / 5.00</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5</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Skirt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3.79 / 5.00</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Seasonal accessories (Gloves, Sandals) and footwear (Boots) top the satisfaction chart. All top-5 ratings cluster between 3.79 and 3.86, suggesting relatively consistent product quality across the catalog.</w:t>
      </w:r>
    </w:p>
    <w:p>
      <w:pPr>
        <w:spacing w:after="100"/>
      </w:pPr>
    </w:p>
    <w:p>
      <w:pPr>
        <w:pStyle w:val="Heading2"/>
        <w:spacing w:before="200" w:after="100"/>
      </w:pPr>
      <w:r>
        <w:rPr>
          <w:rFonts w:ascii="Arial" w:cs="Arial" w:eastAsia="Arial" w:hAnsi="Arial"/>
          <w:b/>
          <w:bCs/>
          <w:color w:val="2563EB"/>
          <w:sz w:val="26"/>
          <w:szCs w:val="26"/>
        </w:rPr>
        <w:t xml:space="preserve">Q4 — Shipping Type vs. Purchase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B82F6" w:sz="6"/>
              <w:bottom w:val="single" w:color="334155" w:sz="1"/>
              <w:right w:val="single" w:color="334155" w:sz="1"/>
            </w:tcBorders>
            <w:shd w:fill="1E293B" w:val="clear"/>
            <w:tcMar>
              <w:top w:type="dxa" w:w="120"/>
              <w:left w:type="dxa" w:w="200"/>
              <w:bottom w:type="dxa" w:w="120"/>
              <w:right w:type="dxa" w:w="160"/>
            </w:tcMar>
          </w:tcPr>
          <w:p>
            <w:pPr>
              <w:spacing w:after="40"/>
            </w:pPr>
            <w:r>
              <w:rPr>
                <w:rFonts w:ascii="Courier New" w:cs="Courier New" w:eastAsia="Courier New" w:hAnsi="Courier New"/>
                <w:color w:val="94A3B8"/>
                <w:sz w:val="17"/>
                <w:szCs w:val="17"/>
              </w:rPr>
              <w:t xml:space="preserve">-- Q4: Standard vs. Express shipping average purchase</w:t>
            </w:r>
          </w:p>
          <w:p>
            <w:pPr>
              <w:spacing w:after="40"/>
            </w:pPr>
            <w:r>
              <w:rPr>
                <w:rFonts w:ascii="Courier New" w:cs="Courier New" w:eastAsia="Courier New" w:hAnsi="Courier New"/>
                <w:color w:val="7DD3FC"/>
                <w:sz w:val="17"/>
                <w:szCs w:val="17"/>
              </w:rPr>
              <w:t xml:space="preserve">SELECT shipping_type,</w:t>
            </w:r>
          </w:p>
          <w:p>
            <w:pPr>
              <w:spacing w:after="40"/>
            </w:pPr>
            <w:r>
              <w:rPr>
                <w:rFonts w:ascii="Courier New" w:cs="Courier New" w:eastAsia="Courier New" w:hAnsi="Courier New"/>
                <w:color w:val="7DD3FC"/>
                <w:sz w:val="17"/>
                <w:szCs w:val="17"/>
              </w:rPr>
              <w:t xml:space="preserve">  ROUND(AVG(purchase_amount), 2) AS avg_purchase</w:t>
            </w:r>
          </w:p>
          <w:p>
            <w:pPr>
              <w:spacing w:after="40"/>
            </w:pPr>
            <w:r>
              <w:rPr>
                <w:rFonts w:ascii="Courier New" w:cs="Courier New" w:eastAsia="Courier New" w:hAnsi="Courier New"/>
                <w:color w:val="7DD3FC"/>
                <w:sz w:val="17"/>
                <w:szCs w:val="17"/>
              </w:rPr>
              <w:t xml:space="preserve">FROM customer</w:t>
            </w:r>
          </w:p>
          <w:p>
            <w:pPr>
              <w:spacing w:after="40"/>
            </w:pPr>
            <w:r>
              <w:rPr>
                <w:rFonts w:ascii="Courier New" w:cs="Courier New" w:eastAsia="Courier New" w:hAnsi="Courier New"/>
                <w:color w:val="7DD3FC"/>
                <w:sz w:val="17"/>
                <w:szCs w:val="17"/>
              </w:rPr>
              <w:t xml:space="preserve">WHERE shipping_type IN ('Standard', 'Express')</w:t>
            </w:r>
          </w:p>
          <w:p>
            <w:pPr>
              <w:spacing w:after="40"/>
            </w:pPr>
            <w:r>
              <w:rPr>
                <w:rFonts w:ascii="Courier New" w:cs="Courier New" w:eastAsia="Courier New" w:hAnsi="Courier New"/>
                <w:color w:val="7DD3FC"/>
                <w:sz w:val="17"/>
                <w:szCs w:val="17"/>
              </w:rPr>
              <w:t xml:space="preserve">GROUP BY shipping_type;</w:t>
            </w:r>
          </w:p>
        </w:tc>
      </w:tr>
    </w:tbl>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Shipping Type</w:t>
            </w:r>
          </w:p>
        </w:tc>
        <w:tc>
          <w:tcPr>
            <w:tcW w:type="dxa" w:w="25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Avg Purchase Amount</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Express</w:t>
            </w:r>
          </w:p>
        </w:tc>
        <w:tc>
          <w:tcPr>
            <w:tcW w:type="dxa" w:w="2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$60.48</w:t>
            </w:r>
          </w:p>
        </w:tc>
      </w:tr>
      <w:tr>
        <w:tc>
          <w:tcPr>
            <w:tcW w:type="dxa" w:w="2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Standard</w:t>
            </w:r>
          </w:p>
        </w:tc>
        <w:tc>
          <w:tcPr>
            <w:tcW w:type="dxa" w:w="2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$58.46</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Customers choosing Express shipping spend $2.02 more on average than Standard shipping users. This may indicate that higher-spending customers place greater value on speed, or that Express is more commonly used for higher-priced item categories.</w:t>
      </w:r>
    </w:p>
    <w:p>
      <w:pPr>
        <w:spacing w:after="100"/>
      </w:pPr>
    </w:p>
    <w:p>
      <w:pPr>
        <w:pStyle w:val="Heading2"/>
        <w:spacing w:before="200" w:after="100"/>
      </w:pPr>
      <w:r>
        <w:rPr>
          <w:rFonts w:ascii="Arial" w:cs="Arial" w:eastAsia="Arial" w:hAnsi="Arial"/>
          <w:b/>
          <w:bCs/>
          <w:color w:val="2563EB"/>
          <w:sz w:val="26"/>
          <w:szCs w:val="26"/>
        </w:rPr>
        <w:t xml:space="preserve">Q5 — Subscription Status vs. 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B82F6" w:sz="6"/>
              <w:bottom w:val="single" w:color="334155" w:sz="1"/>
              <w:right w:val="single" w:color="334155" w:sz="1"/>
            </w:tcBorders>
            <w:shd w:fill="1E293B" w:val="clear"/>
            <w:tcMar>
              <w:top w:type="dxa" w:w="120"/>
              <w:left w:type="dxa" w:w="200"/>
              <w:bottom w:type="dxa" w:w="120"/>
              <w:right w:type="dxa" w:w="160"/>
            </w:tcMar>
          </w:tcPr>
          <w:p>
            <w:pPr>
              <w:spacing w:after="40"/>
            </w:pPr>
            <w:r>
              <w:rPr>
                <w:rFonts w:ascii="Courier New" w:cs="Courier New" w:eastAsia="Courier New" w:hAnsi="Courier New"/>
                <w:color w:val="94A3B8"/>
                <w:sz w:val="17"/>
                <w:szCs w:val="17"/>
              </w:rPr>
              <w:t xml:space="preserve">-- Q5: Subscriber vs. non-subscriber spending comparison</w:t>
            </w:r>
          </w:p>
          <w:p>
            <w:pPr>
              <w:spacing w:after="40"/>
            </w:pPr>
            <w:r>
              <w:rPr>
                <w:rFonts w:ascii="Courier New" w:cs="Courier New" w:eastAsia="Courier New" w:hAnsi="Courier New"/>
                <w:color w:val="7DD3FC"/>
                <w:sz w:val="17"/>
                <w:szCs w:val="17"/>
              </w:rPr>
              <w:t xml:space="preserve">SELECT subscription_status,</w:t>
            </w:r>
          </w:p>
          <w:p>
            <w:pPr>
              <w:spacing w:after="40"/>
            </w:pPr>
            <w:r>
              <w:rPr>
                <w:rFonts w:ascii="Courier New" w:cs="Courier New" w:eastAsia="Courier New" w:hAnsi="Courier New"/>
                <w:color w:val="7DD3FC"/>
                <w:sz w:val="17"/>
                <w:szCs w:val="17"/>
              </w:rPr>
              <w:t xml:space="preserve">  COUNT(customer_id) AS total_customers,</w:t>
            </w:r>
          </w:p>
          <w:p>
            <w:pPr>
              <w:spacing w:after="40"/>
            </w:pPr>
            <w:r>
              <w:rPr>
                <w:rFonts w:ascii="Courier New" w:cs="Courier New" w:eastAsia="Courier New" w:hAnsi="Courier New"/>
                <w:color w:val="7DD3FC"/>
                <w:sz w:val="17"/>
                <w:szCs w:val="17"/>
              </w:rPr>
              <w:t xml:space="preserve">  ROUND(AVG(purchase_amount), 2) AS avg_spend,</w:t>
            </w:r>
          </w:p>
          <w:p>
            <w:pPr>
              <w:spacing w:after="40"/>
            </w:pPr>
            <w:r>
              <w:rPr>
                <w:rFonts w:ascii="Courier New" w:cs="Courier New" w:eastAsia="Courier New" w:hAnsi="Courier New"/>
                <w:color w:val="7DD3FC"/>
                <w:sz w:val="17"/>
                <w:szCs w:val="17"/>
              </w:rPr>
              <w:t xml:space="preserve">  ROUND(SUM(purchase_amount), 2) AS total_revenue</w:t>
            </w:r>
          </w:p>
          <w:p>
            <w:pPr>
              <w:spacing w:after="40"/>
            </w:pPr>
            <w:r>
              <w:rPr>
                <w:rFonts w:ascii="Courier New" w:cs="Courier New" w:eastAsia="Courier New" w:hAnsi="Courier New"/>
                <w:color w:val="7DD3FC"/>
                <w:sz w:val="17"/>
                <w:szCs w:val="17"/>
              </w:rPr>
              <w:t xml:space="preserve">FROM customer</w:t>
            </w:r>
          </w:p>
          <w:p>
            <w:pPr>
              <w:spacing w:after="40"/>
            </w:pPr>
            <w:r>
              <w:rPr>
                <w:rFonts w:ascii="Courier New" w:cs="Courier New" w:eastAsia="Courier New" w:hAnsi="Courier New"/>
                <w:color w:val="7DD3FC"/>
                <w:sz w:val="17"/>
                <w:szCs w:val="17"/>
              </w:rPr>
              <w:t xml:space="preserve">GROUP BY subscription_status</w:t>
            </w:r>
          </w:p>
          <w:p>
            <w:pPr>
              <w:spacing w:after="40"/>
            </w:pPr>
            <w:r>
              <w:rPr>
                <w:rFonts w:ascii="Courier New" w:cs="Courier New" w:eastAsia="Courier New" w:hAnsi="Courier New"/>
                <w:color w:val="7DD3FC"/>
                <w:sz w:val="17"/>
                <w:szCs w:val="17"/>
              </w:rPr>
              <w:t xml:space="preserve">ORDER BY total_revenue, avg_spend DESC;</w:t>
            </w:r>
          </w:p>
        </w:tc>
      </w:tr>
    </w:tbl>
    <w:p>
      <w:pPr>
        <w:spacing w:after="8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600"/>
      </w:tblGrid>
      <w:tr>
        <w:trPr>
          <w:tblHeader/>
        </w:trPr>
        <w:tc>
          <w:tcPr>
            <w:tcW w:type="dxa" w:w="2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Subscription</w:t>
            </w:r>
          </w:p>
        </w:tc>
        <w:tc>
          <w:tcPr>
            <w:tcW w:type="dxa" w:w="17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Customers</w:t>
            </w:r>
          </w:p>
        </w:tc>
        <w:tc>
          <w:tcPr>
            <w:tcW w:type="dxa" w:w="17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Avg Spend</w:t>
            </w:r>
          </w:p>
        </w:tc>
        <w:tc>
          <w:tcPr>
            <w:tcW w:type="dxa" w:w="16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Total Revenue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Yes</w:t>
            </w:r>
          </w:p>
        </w:tc>
        <w:tc>
          <w:tcPr>
            <w:tcW w:type="dxa" w:w="1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1,053</w:t>
            </w:r>
          </w:p>
        </w:tc>
        <w:tc>
          <w:tcPr>
            <w:tcW w:type="dxa" w:w="1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$59.49</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$62,645</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No</w:t>
            </w:r>
          </w:p>
        </w:tc>
        <w:tc>
          <w:tcPr>
            <w:tcW w:type="dxa" w:w="1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2,847</w:t>
            </w:r>
          </w:p>
        </w:tc>
        <w:tc>
          <w:tcPr>
            <w:tcW w:type="dxa" w:w="1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$59.87</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$170,436</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Interestingly, subscribers do NOT spend more per transaction ($59.49 vs $59.87). Non-subscribers generate 73% of total revenue simply because they represent 73% of the customer base. The subscription program does not appear to be driving higher per-transaction spending — a key finding for re-evaluating subscription incentive design.</w:t>
      </w:r>
    </w:p>
    <w:p>
      <w:pPr>
        <w:spacing w:after="80"/>
      </w:pPr>
    </w:p>
    <w:p>
      <w:r>
        <w:br w:type="page"/>
      </w:r>
    </w:p>
    <w:p>
      <w:pPr>
        <w:pStyle w:val="Heading2"/>
        <w:spacing w:before="200" w:after="100"/>
      </w:pPr>
      <w:r>
        <w:rPr>
          <w:rFonts w:ascii="Arial" w:cs="Arial" w:eastAsia="Arial" w:hAnsi="Arial"/>
          <w:b/>
          <w:bCs/>
          <w:color w:val="2563EB"/>
          <w:sz w:val="26"/>
          <w:szCs w:val="26"/>
        </w:rPr>
        <w:t xml:space="preserve">Q6 — Products with Highest Discount Application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B82F6" w:sz="6"/>
              <w:bottom w:val="single" w:color="334155" w:sz="1"/>
              <w:right w:val="single" w:color="334155" w:sz="1"/>
            </w:tcBorders>
            <w:shd w:fill="1E293B" w:val="clear"/>
            <w:tcMar>
              <w:top w:type="dxa" w:w="120"/>
              <w:left w:type="dxa" w:w="200"/>
              <w:bottom w:type="dxa" w:w="120"/>
              <w:right w:type="dxa" w:w="160"/>
            </w:tcMar>
          </w:tcPr>
          <w:p>
            <w:pPr>
              <w:spacing w:after="40"/>
            </w:pPr>
            <w:r>
              <w:rPr>
                <w:rFonts w:ascii="Courier New" w:cs="Courier New" w:eastAsia="Courier New" w:hAnsi="Courier New"/>
                <w:color w:val="94A3B8"/>
                <w:sz w:val="17"/>
                <w:szCs w:val="17"/>
              </w:rPr>
              <w:t xml:space="preserve">-- Q6: Top 5 items with highest discount usage rate</w:t>
            </w:r>
          </w:p>
          <w:p>
            <w:pPr>
              <w:spacing w:after="40"/>
            </w:pPr>
            <w:r>
              <w:rPr>
                <w:rFonts w:ascii="Courier New" w:cs="Courier New" w:eastAsia="Courier New" w:hAnsi="Courier New"/>
                <w:color w:val="7DD3FC"/>
                <w:sz w:val="17"/>
                <w:szCs w:val="17"/>
              </w:rPr>
              <w:t xml:space="preserve">SELECT item_purchased,</w:t>
            </w:r>
          </w:p>
          <w:p>
            <w:pPr>
              <w:spacing w:after="40"/>
            </w:pPr>
            <w:r>
              <w:rPr>
                <w:rFonts w:ascii="Courier New" w:cs="Courier New" w:eastAsia="Courier New" w:hAnsi="Courier New"/>
                <w:color w:val="7DD3FC"/>
                <w:sz w:val="17"/>
                <w:szCs w:val="17"/>
              </w:rPr>
              <w:t xml:space="preserve">  ROUND(100.0 * SUM(CASE WHEN discount_applied = 'Yes' THEN 1 ELSE 0 END) / COUNT(*), 2)</w:t>
            </w:r>
          </w:p>
          <w:p>
            <w:pPr>
              <w:spacing w:after="40"/>
            </w:pPr>
            <w:r>
              <w:rPr>
                <w:rFonts w:ascii="Courier New" w:cs="Courier New" w:eastAsia="Courier New" w:hAnsi="Courier New"/>
                <w:color w:val="7DD3FC"/>
                <w:sz w:val="17"/>
                <w:szCs w:val="17"/>
              </w:rPr>
              <w:t xml:space="preserve">  AS discount_rate</w:t>
            </w:r>
          </w:p>
          <w:p>
            <w:pPr>
              <w:spacing w:after="40"/>
            </w:pPr>
            <w:r>
              <w:rPr>
                <w:rFonts w:ascii="Courier New" w:cs="Courier New" w:eastAsia="Courier New" w:hAnsi="Courier New"/>
                <w:color w:val="7DD3FC"/>
                <w:sz w:val="17"/>
                <w:szCs w:val="17"/>
              </w:rPr>
              <w:t xml:space="preserve">FROM customer</w:t>
            </w:r>
          </w:p>
          <w:p>
            <w:pPr>
              <w:spacing w:after="40"/>
            </w:pPr>
            <w:r>
              <w:rPr>
                <w:rFonts w:ascii="Courier New" w:cs="Courier New" w:eastAsia="Courier New" w:hAnsi="Courier New"/>
                <w:color w:val="7DD3FC"/>
                <w:sz w:val="17"/>
                <w:szCs w:val="17"/>
              </w:rPr>
              <w:t xml:space="preserve">GROUP BY item_purchased</w:t>
            </w:r>
          </w:p>
          <w:p>
            <w:pPr>
              <w:spacing w:after="40"/>
            </w:pPr>
            <w:r>
              <w:rPr>
                <w:rFonts w:ascii="Courier New" w:cs="Courier New" w:eastAsia="Courier New" w:hAnsi="Courier New"/>
                <w:color w:val="7DD3FC"/>
                <w:sz w:val="17"/>
                <w:szCs w:val="17"/>
              </w:rPr>
              <w:t xml:space="preserve">ORDER BY discount_rate DESC LIMIT 5;</w:t>
            </w:r>
          </w:p>
        </w:tc>
      </w:tr>
    </w:tbl>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500"/>
      </w:tblGrid>
      <w:tr>
        <w:trPr>
          <w:tblHeader/>
        </w:trPr>
        <w:tc>
          <w:tcPr>
            <w:tcW w:type="dxa" w:w="7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Rank</w:t>
            </w:r>
          </w:p>
        </w:tc>
        <w:tc>
          <w:tcPr>
            <w:tcW w:type="dxa" w:w="28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Product</w:t>
            </w:r>
          </w:p>
        </w:tc>
        <w:tc>
          <w:tcPr>
            <w:tcW w:type="dxa" w:w="15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Discount Rate</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Hat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50.00%</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Sneakers</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49.66%</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Coat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49.07%</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Sweater</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48.17%</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5</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Pants</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47.37%</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Nearly half of all Hat and Sneaker purchases are discount-driven. These items may be price-sensitive commodities where full-price conversions are difficult. The business should assess whether full-price positioning or bundling strategies could improve margins on these SKUs.</w:t>
      </w:r>
    </w:p>
    <w:p>
      <w:pPr>
        <w:spacing w:after="100"/>
      </w:pPr>
    </w:p>
    <w:p>
      <w:pPr>
        <w:pStyle w:val="Heading2"/>
        <w:spacing w:before="200" w:after="100"/>
      </w:pPr>
      <w:r>
        <w:rPr>
          <w:rFonts w:ascii="Arial" w:cs="Arial" w:eastAsia="Arial" w:hAnsi="Arial"/>
          <w:b/>
          <w:bCs/>
          <w:color w:val="2563EB"/>
          <w:sz w:val="26"/>
          <w:szCs w:val="26"/>
        </w:rPr>
        <w:t xml:space="preserve">Q7 — Customer Loyalty Segmentation</w:t>
      </w:r>
    </w:p>
    <w:p>
      <w:pPr>
        <w:spacing w:after="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700"/>
      </w:tblGrid>
      <w:tr>
        <w:trPr>
          <w:tblHeader/>
        </w:trPr>
        <w:tc>
          <w:tcPr>
            <w:tcW w:type="dxa" w:w="15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Segment</w:t>
            </w:r>
          </w:p>
        </w:tc>
        <w:tc>
          <w:tcPr>
            <w:tcW w:type="dxa" w:w="18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Definition</w:t>
            </w:r>
          </w:p>
        </w:tc>
        <w:tc>
          <w:tcPr>
            <w:tcW w:type="dxa" w:w="17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Count</w:t>
            </w:r>
          </w:p>
        </w:tc>
      </w:tr>
      <w:tr>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New</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Previous purchases = 1</w:t>
            </w:r>
          </w:p>
        </w:tc>
        <w:tc>
          <w:tcPr>
            <w:tcW w:type="dxa" w:w="1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83</w:t>
            </w:r>
          </w:p>
        </w:tc>
      </w:tr>
      <w:tr>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Returning</w:t>
            </w:r>
          </w:p>
        </w:tc>
        <w:tc>
          <w:tcPr>
            <w:tcW w:type="dxa" w:w="1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Previous purchases 2–10</w:t>
            </w:r>
          </w:p>
        </w:tc>
        <w:tc>
          <w:tcPr>
            <w:tcW w:type="dxa" w:w="1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701</w:t>
            </w:r>
          </w:p>
        </w:tc>
      </w:tr>
      <w:tr>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Loyal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Previous purchases &gt; 10</w:t>
            </w:r>
          </w:p>
        </w:tc>
        <w:tc>
          <w:tcPr>
            <w:tcW w:type="dxa" w:w="1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3,116</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A remarkable 79.9% of the customer base qualifies as Loyal (&gt;10 purchases). Only 2.1% are New customers, which may indicate limited new customer acquisition — or that the dataset skews toward established customers. This distribution strongly favors retention-focused marketing over acquisition spending.</w:t>
      </w:r>
    </w:p>
    <w:p>
      <w:pPr>
        <w:spacing w:after="100"/>
      </w:pPr>
    </w:p>
    <w:p>
      <w:pPr>
        <w:pStyle w:val="Heading2"/>
        <w:spacing w:before="200" w:after="100"/>
      </w:pPr>
      <w:r>
        <w:rPr>
          <w:rFonts w:ascii="Arial" w:cs="Arial" w:eastAsia="Arial" w:hAnsi="Arial"/>
          <w:b/>
          <w:bCs/>
          <w:color w:val="2563EB"/>
          <w:sz w:val="26"/>
          <w:szCs w:val="26"/>
        </w:rPr>
        <w:t xml:space="preserve">Q8 — Top 3 Products Per Category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3000"/>
        <w:gridCol w:w="3000"/>
      </w:tblGrid>
      <w:tr>
        <w:trPr>
          <w:tblHeader/>
        </w:trPr>
        <w:tc>
          <w:tcPr>
            <w:tcW w:type="dxa" w:w="7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Rank</w:t>
            </w:r>
          </w:p>
        </w:tc>
        <w:tc>
          <w:tcPr>
            <w:tcW w:type="dxa" w:w="266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3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Product</w:t>
            </w:r>
          </w:p>
        </w:tc>
        <w:tc>
          <w:tcPr>
            <w:tcW w:type="dxa" w:w="3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Orders</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w:t>
            </w:r>
          </w:p>
        </w:tc>
        <w:tc>
          <w:tcPr>
            <w:tcW w:type="dxa" w:w="26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Clothing</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Blouse / Pants</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171 each</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w:t>
            </w:r>
          </w:p>
        </w:tc>
        <w:tc>
          <w:tcPr>
            <w:tcW w:type="dxa" w:w="26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Clothing</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Shirt</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169</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w:t>
            </w:r>
          </w:p>
        </w:tc>
        <w:tc>
          <w:tcPr>
            <w:tcW w:type="dxa" w:w="26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Footwear</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Sandals</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160</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w:t>
            </w:r>
          </w:p>
        </w:tc>
        <w:tc>
          <w:tcPr>
            <w:tcW w:type="dxa" w:w="26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Footwear</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Shoes</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150</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w:t>
            </w:r>
          </w:p>
        </w:tc>
        <w:tc>
          <w:tcPr>
            <w:tcW w:type="dxa" w:w="26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Footwear</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Sneakers</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145</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w:t>
            </w:r>
          </w:p>
        </w:tc>
        <w:tc>
          <w:tcPr>
            <w:tcW w:type="dxa" w:w="26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Outerwear</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Jacket</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163</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w:t>
            </w:r>
          </w:p>
        </w:tc>
        <w:tc>
          <w:tcPr>
            <w:tcW w:type="dxa" w:w="26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Outerwear</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Coat</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161</w:t>
            </w:r>
          </w:p>
        </w:tc>
      </w:tr>
      <w:tr>
        <w:tc>
          <w:tcPr>
            <w:tcW w:type="dxa" w:w="7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w:t>
            </w:r>
          </w:p>
        </w:tc>
        <w:tc>
          <w:tcPr>
            <w:tcW w:type="dxa" w:w="26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Accessories</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Jewelry</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171</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w:t>
            </w:r>
          </w:p>
        </w:tc>
        <w:tc>
          <w:tcPr>
            <w:tcW w:type="dxa" w:w="26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Accessories</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Sunglasses / Belt</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161 each</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Product demand is remarkably balanced across categories, with top items in each category receiving similar order volumes (145–171 orders). Clothing dominates overall volume with 1,737 transactions. Outerwear has only two items in its top-3, indicating a concentrated product mix.</w:t>
      </w:r>
    </w:p>
    <w:p>
      <w:pPr>
        <w:spacing w:after="100"/>
      </w:pPr>
    </w:p>
    <w:p>
      <w:pPr>
        <w:pStyle w:val="Heading2"/>
        <w:spacing w:before="200" w:after="100"/>
      </w:pPr>
      <w:r>
        <w:rPr>
          <w:rFonts w:ascii="Arial" w:cs="Arial" w:eastAsia="Arial" w:hAnsi="Arial"/>
          <w:b/>
          <w:bCs/>
          <w:color w:val="2563EB"/>
          <w:sz w:val="26"/>
          <w:szCs w:val="26"/>
        </w:rPr>
        <w:t xml:space="preserve">Q9 — Repeat Buyers and Subscription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B82F6" w:sz="6"/>
              <w:bottom w:val="single" w:color="334155" w:sz="1"/>
              <w:right w:val="single" w:color="334155" w:sz="1"/>
            </w:tcBorders>
            <w:shd w:fill="1E293B" w:val="clear"/>
            <w:tcMar>
              <w:top w:type="dxa" w:w="120"/>
              <w:left w:type="dxa" w:w="200"/>
              <w:bottom w:type="dxa" w:w="120"/>
              <w:right w:type="dxa" w:w="160"/>
            </w:tcMar>
          </w:tcPr>
          <w:p>
            <w:pPr>
              <w:spacing w:after="40"/>
            </w:pPr>
            <w:r>
              <w:rPr>
                <w:rFonts w:ascii="Courier New" w:cs="Courier New" w:eastAsia="Courier New" w:hAnsi="Courier New"/>
                <w:color w:val="94A3B8"/>
                <w:sz w:val="17"/>
                <w:szCs w:val="17"/>
              </w:rPr>
              <w:t xml:space="preserve">-- Q9: Subscription status of repeat buyers (&gt;5 previous purchases)</w:t>
            </w:r>
          </w:p>
          <w:p>
            <w:pPr>
              <w:spacing w:after="40"/>
            </w:pPr>
            <w:r>
              <w:rPr>
                <w:rFonts w:ascii="Courier New" w:cs="Courier New" w:eastAsia="Courier New" w:hAnsi="Courier New"/>
                <w:color w:val="7DD3FC"/>
                <w:sz w:val="17"/>
                <w:szCs w:val="17"/>
              </w:rPr>
              <w:t xml:space="preserve">SELECT subscription_status, COUNT(customer_id) AS repeat_buyers</w:t>
            </w:r>
          </w:p>
          <w:p>
            <w:pPr>
              <w:spacing w:after="40"/>
            </w:pPr>
            <w:r>
              <w:rPr>
                <w:rFonts w:ascii="Courier New" w:cs="Courier New" w:eastAsia="Courier New" w:hAnsi="Courier New"/>
                <w:color w:val="7DD3FC"/>
                <w:sz w:val="17"/>
                <w:szCs w:val="17"/>
              </w:rPr>
              <w:t xml:space="preserve">FROM customer</w:t>
            </w:r>
          </w:p>
          <w:p>
            <w:pPr>
              <w:spacing w:after="40"/>
            </w:pPr>
            <w:r>
              <w:rPr>
                <w:rFonts w:ascii="Courier New" w:cs="Courier New" w:eastAsia="Courier New" w:hAnsi="Courier New"/>
                <w:color w:val="7DD3FC"/>
                <w:sz w:val="17"/>
                <w:szCs w:val="17"/>
              </w:rPr>
              <w:t xml:space="preserve">WHERE previous_purchases &gt; 5</w:t>
            </w:r>
          </w:p>
          <w:p>
            <w:pPr>
              <w:spacing w:after="40"/>
            </w:pPr>
            <w:r>
              <w:rPr>
                <w:rFonts w:ascii="Courier New" w:cs="Courier New" w:eastAsia="Courier New" w:hAnsi="Courier New"/>
                <w:color w:val="7DD3FC"/>
                <w:sz w:val="17"/>
                <w:szCs w:val="17"/>
              </w:rPr>
              <w:t xml:space="preserve">GROUP BY subscription_status;</w:t>
            </w:r>
          </w:p>
        </w:tc>
      </w:tr>
    </w:tbl>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Subscription Status</w:t>
            </w:r>
          </w:p>
        </w:tc>
        <w:tc>
          <w:tcPr>
            <w:tcW w:type="dxa" w:w="25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Repeat Buyers (&gt;5 Purchases)</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No</w:t>
            </w:r>
          </w:p>
        </w:tc>
        <w:tc>
          <w:tcPr>
            <w:tcW w:type="dxa" w:w="2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2,518 (72.4%)</w:t>
            </w:r>
          </w:p>
        </w:tc>
      </w:tr>
      <w:tr>
        <w:tc>
          <w:tcPr>
            <w:tcW w:type="dxa" w:w="2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Yes</w:t>
            </w:r>
          </w:p>
        </w:tc>
        <w:tc>
          <w:tcPr>
            <w:tcW w:type="dxa" w:w="2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958 (27.6%)</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72.4% of highly loyal repeat buyers do NOT hold a subscription. This is a significant missed opportunity — the most loyal customer segment is largely outside the subscription program. Targeted re-engagement campaigns for this group could substantially grow subscription revenue.</w:t>
      </w:r>
    </w:p>
    <w:p>
      <w:pPr>
        <w:spacing w:after="100"/>
      </w:pPr>
    </w:p>
    <w:p>
      <w:pPr>
        <w:pStyle w:val="Heading2"/>
        <w:spacing w:before="200" w:after="100"/>
      </w:pPr>
      <w:r>
        <w:rPr>
          <w:rFonts w:ascii="Arial" w:cs="Arial" w:eastAsia="Arial" w:hAnsi="Arial"/>
          <w:b/>
          <w:bCs/>
          <w:color w:val="2563EB"/>
          <w:sz w:val="26"/>
          <w:szCs w:val="26"/>
        </w:rPr>
        <w:t xml:space="preserve">Q10 — Revenue by Age Group</w:t>
      </w:r>
    </w:p>
    <w:p>
      <w:pPr>
        <w:spacing w:after="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Age Group</w:t>
            </w:r>
          </w:p>
        </w:tc>
        <w:tc>
          <w:tcPr>
            <w:tcW w:type="dxa" w:w="2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Total Revenue</w:t>
            </w:r>
          </w:p>
        </w:tc>
        <w:tc>
          <w:tcPr>
            <w:tcW w:type="dxa" w:w="2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Share of Total</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25–34</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$45,400</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19.5%</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45–54</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$45,370</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19.5%</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55–64</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$44,096</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18.9%</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35–44</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$43,463</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18.6%</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18–24</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$29,258</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12.6%</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65+</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$25,494</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10.9%</w:t>
            </w:r>
          </w:p>
        </w:tc>
      </w:tr>
    </w:tbl>
    <w:p>
      <w:pPr>
        <w:spacing w:after="80"/>
      </w:pPr>
    </w:p>
    <w:p>
      <w:pPr>
        <w:spacing w:after="100"/>
        <w:jc w:val="left"/>
      </w:pPr>
      <w:r>
        <w:rPr>
          <w:rFonts w:ascii="Arial" w:cs="Arial" w:eastAsia="Arial" w:hAnsi="Arial"/>
          <w:b w:val="false"/>
          <w:bCs w:val="false"/>
          <w:i w:val="false"/>
          <w:iCs w:val="false"/>
          <w:color w:val="1E293B"/>
          <w:sz w:val="20"/>
          <w:szCs w:val="20"/>
        </w:rPr>
        <w:t xml:space="preserve">Revenue is surprisingly evenly distributed across the 25–64 age range, with each band contributing approximately 18–20% of total revenue. The youngest (18–24) and oldest (65+) segments each contribute only around 11–13%, suggesting potential for growth initiatives in these underserved demographics.</w:t>
      </w:r>
    </w:p>
    <w:p>
      <w:r>
        <w:br w:type="page"/>
      </w:r>
    </w:p>
    <w:p>
      <w:pPr>
        <w:pStyle w:val="Heading1"/>
        <w:spacing w:before="320" w:after="160"/>
      </w:pPr>
      <w:r>
        <w:rPr>
          <w:rFonts w:ascii="Arial" w:cs="Arial" w:eastAsia="Arial" w:hAnsi="Arial"/>
          <w:b/>
          <w:bCs/>
          <w:color w:val="1B3A6B"/>
          <w:sz w:val="34"/>
          <w:szCs w:val="34"/>
        </w:rPr>
        <w:t xml:space="preserve">6.  Dashboard Insights</w:t>
      </w:r>
    </w:p>
    <w:p>
      <w:pPr>
        <w:pBdr>
          <w:bottom w:val="single" w:color="3B82F6" w:sz="4" w:space="1"/>
        </w:pBdr>
        <w:spacing w:after="160"/>
      </w:pPr>
    </w:p>
    <w:p>
      <w:pPr>
        <w:spacing w:after="100"/>
        <w:jc w:val="left"/>
      </w:pPr>
      <w:r>
        <w:rPr>
          <w:rFonts w:ascii="Arial" w:cs="Arial" w:eastAsia="Arial" w:hAnsi="Arial"/>
          <w:b w:val="false"/>
          <w:bCs w:val="false"/>
          <w:i w:val="false"/>
          <w:iCs w:val="false"/>
          <w:color w:val="1E293B"/>
          <w:sz w:val="20"/>
          <w:szCs w:val="20"/>
        </w:rPr>
        <w:t xml:space="preserve">A Power BI dashboard (customer_behavior_dashboard.pbix) was constructed to provide an interactive, visual layer on top of the SQL findings. The following key insights were derived from the dashboard: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  Revenue &amp; Gender Overview</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Male customers contribute $157,890 (67.7%) vs Female customers at $75,191 (32.3%) of total revenue.</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The gender revenue split mirrors the population split — indicating no significant per-customer behavioral difference.</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Average transaction values: Male $59.54 | Female $60.25 — females slightly outspend per transaction.</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Implication: The business should invest more in female customer acquisition as per-transaction value is comparable or slightly higher.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  Subscription Performance Dashboard</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Only 27% of customers (1,053) hold active subscriptions, yet they represent a $62,645 revenue block.</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Subscribed customers show virtually identical average spend to non-subscribers ($59.49 vs $59.87).</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The subscription program currently functions as a loyalty label rather than a value driver.</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Dashboard visual: Donut chart showing 73% non-subscriber dominance with revenue bar split overlay.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  Product Category Performance</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Clothing is the dominant category with 1,737 purchases (44.5% of total transactions).</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Accessories represent 1,240 purchases (31.8%) — a disproportionately high-engagement category.</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Outerwear at 324 purchases (8.3%) shows the lowest volume but likely higher seasonal price points.</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Footwear (599 purchases / 15.4%) has the highest-rated individual products (Sandals, Boots) yet mid-range order volume.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  Seasonal &amp; Purchase Frequency Distribution</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Purchase volumes are remarkably consistent across seasons: Spring (999), Fall (975), Winter (971), Summer (955).</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No seasonal demand spike detected — suggesting the product mix is year-round rather than seasonal-dependent.</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Purchase frequency is evenly distributed: Every 3 Months (584) and Annually (572) are the most common patterns.</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Weekly and Fortnightly buyers represent ~28% of the base — these are the highest-engagement, highest-LTV customers.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  Discount &amp; Pricing Intelligence</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43% of all transactions (1,677 of 3,900) involved a discount — indicating heavy discount dependency.</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Hat and Sneakers show 50% discount rates — nearly every other purchase in these SKUs is discount-driven.</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839 discount users still spent above the $59.76 average — discounts are not always downgrading transaction quality.</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Promo code usage and discount application are nearly correlated, suggesting promo codes are the primary discount delivery mechanism.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  Customer Loyalty Landscape</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3,116 customers (79.9%) are classified as Loyal — a healthy retention base but potentially a sign of stagnant new acquisition.</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Only 83 New customers (2.1%) suggest low top-of-funnel activity — new customer acquisition campaigns are urgently needed.</w:t>
            </w:r>
          </w:p>
        </w:tc>
      </w:tr>
      <w:tr>
        <w:tc>
          <w:tcPr>
            <w:tcW w:type="dxa" w:w="9360"/>
            <w:tcBorders>
              <w:top w:val="none"/>
              <w:left w:val="single" w:color="3B82F6" w:sz="3"/>
              <w:bottom w:val="single" w:color="BFDBFE" w:sz="1"/>
              <w:right w:val="none"/>
            </w:tcBorders>
            <w:shd w:fill="EFF6FF" w:val="clear"/>
            <w:tcMar>
              <w:top w:type="dxa" w:w="80"/>
              <w:left w:type="dxa" w:w="180"/>
              <w:bottom w:type="dxa" w:w="80"/>
              <w:right w:type="dxa" w:w="160"/>
            </w:tcMar>
          </w:tcPr>
          <w:p>
            <w:r>
              <w:rPr>
                <w:rFonts w:ascii="Arial" w:cs="Arial" w:eastAsia="Arial" w:hAnsi="Arial"/>
                <w:color w:val="1E293B"/>
                <w:sz w:val="19"/>
                <w:szCs w:val="19"/>
              </w:rPr>
              <w:t xml:space="preserve">72.4% of repeat buyers lack subscriptions — the most loyal segment is monetization-unrealized.</w:t>
            </w:r>
          </w:p>
        </w:tc>
      </w:tr>
      <w:tr>
        <w:tc>
          <w:tcPr>
            <w:tcW w:type="dxa" w:w="9360"/>
            <w:tcBorders>
              <w:top w:val="none"/>
              <w:left w:val="single" w:color="3B82F6" w:sz="3"/>
              <w:bottom w:val="single" w:color="BFDBFE" w:sz="1"/>
              <w:right w:val="none"/>
            </w:tcBorders>
            <w:shd w:fill="FFFFFF" w:val="clear"/>
            <w:tcMar>
              <w:top w:type="dxa" w:w="80"/>
              <w:left w:type="dxa" w:w="180"/>
              <w:bottom w:type="dxa" w:w="80"/>
              <w:right w:type="dxa" w:w="160"/>
            </w:tcMar>
          </w:tcPr>
          <w:p>
            <w:r>
              <w:rPr>
                <w:rFonts w:ascii="Arial" w:cs="Arial" w:eastAsia="Arial" w:hAnsi="Arial"/>
                <w:color w:val="1E293B"/>
                <w:sz w:val="19"/>
                <w:szCs w:val="19"/>
              </w:rPr>
              <w:t xml:space="preserve">Weekly buyers generate disproportionate revenue through frequency — a VIP or loyalty rewards program targeting this group would yield high ROI.</w:t>
            </w:r>
          </w:p>
        </w:tc>
      </w:tr>
    </w:tbl>
    <w:p>
      <w:r>
        <w:br w:type="page"/>
      </w:r>
    </w:p>
    <w:p>
      <w:pPr>
        <w:pStyle w:val="Heading1"/>
        <w:spacing w:before="320" w:after="160"/>
      </w:pPr>
      <w:r>
        <w:rPr>
          <w:rFonts w:ascii="Arial" w:cs="Arial" w:eastAsia="Arial" w:hAnsi="Arial"/>
          <w:b/>
          <w:bCs/>
          <w:color w:val="1B3A6B"/>
          <w:sz w:val="34"/>
          <w:szCs w:val="34"/>
        </w:rPr>
        <w:t xml:space="preserve">7.  Business Recommendations</w:t>
      </w:r>
    </w:p>
    <w:p>
      <w:pPr>
        <w:pBdr>
          <w:bottom w:val="single" w:color="3B82F6" w:sz="4" w:space="1"/>
        </w:pBdr>
        <w:spacing w:after="160"/>
      </w:pPr>
    </w:p>
    <w:p>
      <w:pPr>
        <w:spacing w:after="100"/>
        <w:jc w:val="left"/>
      </w:pPr>
      <w:r>
        <w:rPr>
          <w:rFonts w:ascii="Arial" w:cs="Arial" w:eastAsia="Arial" w:hAnsi="Arial"/>
          <w:b w:val="false"/>
          <w:bCs w:val="false"/>
          <w:i w:val="false"/>
          <w:iCs w:val="false"/>
          <w:color w:val="1E293B"/>
          <w:sz w:val="20"/>
          <w:szCs w:val="20"/>
        </w:rPr>
        <w:t xml:space="preserve">Based on the SQL analysis and dashboard findings, the following evidence-based recommendations are proposed across six strategic areas:</w:t>
      </w:r>
    </w:p>
    <w:p>
      <w:pPr>
        <w:spacing w:after="100"/>
      </w:pPr>
    </w:p>
    <w:p>
      <w:pPr>
        <w:pStyle w:val="Heading2"/>
        <w:spacing w:before="200" w:after="100"/>
      </w:pPr>
      <w:r>
        <w:rPr>
          <w:rFonts w:ascii="Arial" w:cs="Arial" w:eastAsia="Arial" w:hAnsi="Arial"/>
          <w:b/>
          <w:bCs/>
          <w:color w:val="2563EB"/>
          <w:sz w:val="26"/>
          <w:szCs w:val="26"/>
        </w:rPr>
        <w:t xml:space="preserve">Recommendation 1 — Redesign the Subscription Program</w:t>
      </w:r>
    </w:p>
    <w:p>
      <w:pPr>
        <w:spacing w:after="100"/>
        <w:jc w:val="left"/>
      </w:pPr>
      <w:r>
        <w:rPr>
          <w:rFonts w:ascii="Arial" w:cs="Arial" w:eastAsia="Arial" w:hAnsi="Arial"/>
          <w:b w:val="false"/>
          <w:bCs w:val="false"/>
          <w:i w:val="false"/>
          <w:iCs w:val="false"/>
          <w:color w:val="1E293B"/>
          <w:sz w:val="20"/>
          <w:szCs w:val="20"/>
        </w:rPr>
        <w:t xml:space="preserve">Current state: Subscribers do not spend more per transaction than non-subscribers ($59.49 vs $59.87). The subscription label provides no measurable financial advantage.</w:t>
      </w:r>
    </w:p>
    <w:p>
      <w:pPr>
        <w:spacing w:after="60"/>
      </w:pPr>
    </w:p>
    <w:p>
      <w:pPr>
        <w:pStyle w:val="ListParagraph"/>
        <w:numPr>
          <w:ilvl w:val="0"/>
          <w:numId w:val="2"/>
        </w:numPr>
        <w:spacing w:after="80"/>
      </w:pPr>
      <w:r>
        <w:rPr>
          <w:rFonts w:ascii="Arial" w:cs="Arial" w:eastAsia="Arial" w:hAnsi="Arial"/>
          <w:color w:val="1E293B"/>
          <w:sz w:val="20"/>
          <w:szCs w:val="20"/>
        </w:rPr>
        <w:t xml:space="preserve">Introduce tiered subscription benefits: exclusive early access to new collections, free express shipping above a threshold, and loyalty cashback (e.g., 5% back on every purchase).</w:t>
      </w:r>
    </w:p>
    <w:p>
      <w:pPr>
        <w:pStyle w:val="ListParagraph"/>
        <w:numPr>
          <w:ilvl w:val="0"/>
          <w:numId w:val="2"/>
        </w:numPr>
        <w:spacing w:after="80"/>
      </w:pPr>
      <w:r>
        <w:rPr>
          <w:rFonts w:ascii="Arial" w:cs="Arial" w:eastAsia="Arial" w:hAnsi="Arial"/>
          <w:color w:val="1E293B"/>
          <w:sz w:val="20"/>
          <w:szCs w:val="20"/>
        </w:rPr>
        <w:t xml:space="preserve">Target the 2,518 loyal non-subscribers (Q9) with a dedicated re-subscription campaign highlighting benefits they are currently missing.</w:t>
      </w:r>
    </w:p>
    <w:p>
      <w:pPr>
        <w:pStyle w:val="ListParagraph"/>
        <w:numPr>
          <w:ilvl w:val="0"/>
          <w:numId w:val="2"/>
        </w:numPr>
        <w:spacing w:after="80"/>
      </w:pPr>
      <w:r>
        <w:rPr>
          <w:rFonts w:ascii="Arial" w:cs="Arial" w:eastAsia="Arial" w:hAnsi="Arial"/>
          <w:color w:val="1E293B"/>
          <w:sz w:val="20"/>
          <w:szCs w:val="20"/>
        </w:rPr>
        <w:t xml:space="preserve">Set a KPI: increase subscriber average transaction value by 10% within 2 quarters of benefit rollout.</w:t>
      </w:r>
    </w:p>
    <w:p>
      <w:pPr>
        <w:spacing w:after="80"/>
      </w:pPr>
    </w:p>
    <w:p>
      <w:pPr>
        <w:pStyle w:val="Heading2"/>
        <w:spacing w:before="200" w:after="100"/>
      </w:pPr>
      <w:r>
        <w:rPr>
          <w:rFonts w:ascii="Arial" w:cs="Arial" w:eastAsia="Arial" w:hAnsi="Arial"/>
          <w:b/>
          <w:bCs/>
          <w:color w:val="2563EB"/>
          <w:sz w:val="26"/>
          <w:szCs w:val="26"/>
        </w:rPr>
        <w:t xml:space="preserve">Recommendation 2 — Reduce Discount Dependency on Key SKUs</w:t>
      </w:r>
    </w:p>
    <w:p>
      <w:pPr>
        <w:spacing w:after="100"/>
        <w:jc w:val="left"/>
      </w:pPr>
      <w:r>
        <w:rPr>
          <w:rFonts w:ascii="Arial" w:cs="Arial" w:eastAsia="Arial" w:hAnsi="Arial"/>
          <w:b w:val="false"/>
          <w:bCs w:val="false"/>
          <w:i w:val="false"/>
          <w:iCs w:val="false"/>
          <w:color w:val="1E293B"/>
          <w:sz w:val="20"/>
          <w:szCs w:val="20"/>
        </w:rPr>
        <w:t xml:space="preserve">Current state: Hat (50%), Sneakers (49.66%), and Coat (49.07%) purchases are approximately half discount-driven, eroding margin.</w:t>
      </w:r>
    </w:p>
    <w:p>
      <w:pPr>
        <w:spacing w:after="60"/>
      </w:pPr>
    </w:p>
    <w:p>
      <w:pPr>
        <w:pStyle w:val="ListParagraph"/>
        <w:numPr>
          <w:ilvl w:val="0"/>
          <w:numId w:val="2"/>
        </w:numPr>
        <w:spacing w:after="80"/>
      </w:pPr>
      <w:r>
        <w:rPr>
          <w:rFonts w:ascii="Arial" w:cs="Arial" w:eastAsia="Arial" w:hAnsi="Arial"/>
          <w:color w:val="1E293B"/>
          <w:sz w:val="20"/>
          <w:szCs w:val="20"/>
        </w:rPr>
        <w:t xml:space="preserve">Implement bundling strategies: pair high-discount items (Hats, Sweaters) with full-priced accessories to improve blended margins.</w:t>
      </w:r>
    </w:p>
    <w:p>
      <w:pPr>
        <w:pStyle w:val="ListParagraph"/>
        <w:numPr>
          <w:ilvl w:val="0"/>
          <w:numId w:val="2"/>
        </w:numPr>
        <w:spacing w:after="80"/>
      </w:pPr>
      <w:r>
        <w:rPr>
          <w:rFonts w:ascii="Arial" w:cs="Arial" w:eastAsia="Arial" w:hAnsi="Arial"/>
          <w:color w:val="1E293B"/>
          <w:sz w:val="20"/>
          <w:szCs w:val="20"/>
        </w:rPr>
        <w:t xml:space="preserve">Cap promotional frequency for these SKUs — limit to 2–3 seasonal discount events per year rather than ongoing promotions.</w:t>
      </w:r>
    </w:p>
    <w:p>
      <w:pPr>
        <w:pStyle w:val="ListParagraph"/>
        <w:numPr>
          <w:ilvl w:val="0"/>
          <w:numId w:val="2"/>
        </w:numPr>
        <w:spacing w:after="80"/>
      </w:pPr>
      <w:r>
        <w:rPr>
          <w:rFonts w:ascii="Arial" w:cs="Arial" w:eastAsia="Arial" w:hAnsi="Arial"/>
          <w:color w:val="1E293B"/>
          <w:sz w:val="20"/>
          <w:szCs w:val="20"/>
        </w:rPr>
        <w:t xml:space="preserve">Use the 839 full-price discount users (Q2) as a control group to test price elasticity before removing discounts.</w:t>
      </w:r>
    </w:p>
    <w:p>
      <w:pPr>
        <w:spacing w:after="80"/>
      </w:pPr>
    </w:p>
    <w:p>
      <w:pPr>
        <w:pStyle w:val="Heading2"/>
        <w:spacing w:before="200" w:after="100"/>
      </w:pPr>
      <w:r>
        <w:rPr>
          <w:rFonts w:ascii="Arial" w:cs="Arial" w:eastAsia="Arial" w:hAnsi="Arial"/>
          <w:b/>
          <w:bCs/>
          <w:color w:val="2563EB"/>
          <w:sz w:val="26"/>
          <w:szCs w:val="26"/>
        </w:rPr>
        <w:t xml:space="preserve">Recommendation 3 — Launch a New Customer Acquisition Strategy</w:t>
      </w:r>
    </w:p>
    <w:p>
      <w:pPr>
        <w:spacing w:after="100"/>
        <w:jc w:val="left"/>
      </w:pPr>
      <w:r>
        <w:rPr>
          <w:rFonts w:ascii="Arial" w:cs="Arial" w:eastAsia="Arial" w:hAnsi="Arial"/>
          <w:b w:val="false"/>
          <w:bCs w:val="false"/>
          <w:i w:val="false"/>
          <w:iCs w:val="false"/>
          <w:color w:val="1E293B"/>
          <w:sz w:val="20"/>
          <w:szCs w:val="20"/>
        </w:rPr>
        <w:t xml:space="preserve">Current state: Only 83 of 3,900 customers (2.1%) are new buyers. The funnel is severely underperforming at the top.</w:t>
      </w:r>
    </w:p>
    <w:p>
      <w:pPr>
        <w:spacing w:after="60"/>
      </w:pPr>
    </w:p>
    <w:p>
      <w:pPr>
        <w:pStyle w:val="ListParagraph"/>
        <w:numPr>
          <w:ilvl w:val="0"/>
          <w:numId w:val="2"/>
        </w:numPr>
        <w:spacing w:after="80"/>
      </w:pPr>
      <w:r>
        <w:rPr>
          <w:rFonts w:ascii="Arial" w:cs="Arial" w:eastAsia="Arial" w:hAnsi="Arial"/>
          <w:color w:val="1E293B"/>
          <w:sz w:val="20"/>
          <w:szCs w:val="20"/>
        </w:rPr>
        <w:t xml:space="preserve">Invest in targeted digital advertising toward the 18–24 and 65+ age segments, which together contribute only 23.5% of revenue (well below their likely population share).</w:t>
      </w:r>
    </w:p>
    <w:p>
      <w:pPr>
        <w:pStyle w:val="ListParagraph"/>
        <w:numPr>
          <w:ilvl w:val="0"/>
          <w:numId w:val="2"/>
        </w:numPr>
        <w:spacing w:after="80"/>
      </w:pPr>
      <w:r>
        <w:rPr>
          <w:rFonts w:ascii="Arial" w:cs="Arial" w:eastAsia="Arial" w:hAnsi="Arial"/>
          <w:color w:val="1E293B"/>
          <w:sz w:val="20"/>
          <w:szCs w:val="20"/>
        </w:rPr>
        <w:t xml:space="preserve">Launch a referral program incentivizing Loyal customers to refer new customers — leveraging the 79.9% Loyal base as a growth engine.</w:t>
      </w:r>
    </w:p>
    <w:p>
      <w:pPr>
        <w:pStyle w:val="ListParagraph"/>
        <w:numPr>
          <w:ilvl w:val="0"/>
          <w:numId w:val="2"/>
        </w:numPr>
        <w:spacing w:after="80"/>
      </w:pPr>
      <w:r>
        <w:rPr>
          <w:rFonts w:ascii="Arial" w:cs="Arial" w:eastAsia="Arial" w:hAnsi="Arial"/>
          <w:color w:val="1E293B"/>
          <w:sz w:val="20"/>
          <w:szCs w:val="20"/>
        </w:rPr>
        <w:t xml:space="preserve">Set a 90-day new customer growth target: 15% increase in customers classified as "New" month-over-month.</w:t>
      </w:r>
    </w:p>
    <w:p>
      <w:pPr>
        <w:spacing w:after="80"/>
      </w:pPr>
    </w:p>
    <w:p>
      <w:pPr>
        <w:pStyle w:val="Heading2"/>
        <w:spacing w:before="200" w:after="100"/>
      </w:pPr>
      <w:r>
        <w:rPr>
          <w:rFonts w:ascii="Arial" w:cs="Arial" w:eastAsia="Arial" w:hAnsi="Arial"/>
          <w:b/>
          <w:bCs/>
          <w:color w:val="2563EB"/>
          <w:sz w:val="26"/>
          <w:szCs w:val="26"/>
        </w:rPr>
        <w:t xml:space="preserve">Recommendation 4 — Optimize Female Customer Targeting</w:t>
      </w:r>
    </w:p>
    <w:p>
      <w:pPr>
        <w:spacing w:after="100"/>
        <w:jc w:val="left"/>
      </w:pPr>
      <w:r>
        <w:rPr>
          <w:rFonts w:ascii="Arial" w:cs="Arial" w:eastAsia="Arial" w:hAnsi="Arial"/>
          <w:b w:val="false"/>
          <w:bCs w:val="false"/>
          <w:i w:val="false"/>
          <w:iCs w:val="false"/>
          <w:color w:val="1E293B"/>
          <w:sz w:val="20"/>
          <w:szCs w:val="20"/>
        </w:rPr>
        <w:t xml:space="preserve">Current state: Female customers represent 32% of the base but show slightly higher average transaction values ($60.25 vs $59.54 for males).</w:t>
      </w:r>
    </w:p>
    <w:p>
      <w:pPr>
        <w:spacing w:after="60"/>
      </w:pPr>
    </w:p>
    <w:p>
      <w:pPr>
        <w:pStyle w:val="ListParagraph"/>
        <w:numPr>
          <w:ilvl w:val="0"/>
          <w:numId w:val="2"/>
        </w:numPr>
        <w:spacing w:after="80"/>
      </w:pPr>
      <w:r>
        <w:rPr>
          <w:rFonts w:ascii="Arial" w:cs="Arial" w:eastAsia="Arial" w:hAnsi="Arial"/>
          <w:color w:val="1E293B"/>
          <w:sz w:val="20"/>
          <w:szCs w:val="20"/>
        </w:rPr>
        <w:t xml:space="preserve">Reallocate 15–20% of the male-targeted marketing budget toward female-segment campaigns, particularly for top-rated female-preferred SKUs: Gloves, Skirts, Boots.</w:t>
      </w:r>
    </w:p>
    <w:p>
      <w:pPr>
        <w:pStyle w:val="ListParagraph"/>
        <w:numPr>
          <w:ilvl w:val="0"/>
          <w:numId w:val="2"/>
        </w:numPr>
        <w:spacing w:after="80"/>
      </w:pPr>
      <w:r>
        <w:rPr>
          <w:rFonts w:ascii="Arial" w:cs="Arial" w:eastAsia="Arial" w:hAnsi="Arial"/>
          <w:color w:val="1E293B"/>
          <w:sz w:val="20"/>
          <w:szCs w:val="20"/>
        </w:rPr>
        <w:t xml:space="preserve">Create gender-specific product bundles and seasonal lookbooks to increase cross-category purchasing among female customers.</w:t>
      </w:r>
    </w:p>
    <w:p>
      <w:pPr>
        <w:pStyle w:val="ListParagraph"/>
        <w:numPr>
          <w:ilvl w:val="0"/>
          <w:numId w:val="2"/>
        </w:numPr>
        <w:spacing w:after="80"/>
      </w:pPr>
      <w:r>
        <w:rPr>
          <w:rFonts w:ascii="Arial" w:cs="Arial" w:eastAsia="Arial" w:hAnsi="Arial"/>
          <w:color w:val="1E293B"/>
          <w:sz w:val="20"/>
          <w:szCs w:val="20"/>
        </w:rPr>
        <w:t xml:space="preserve">Monitor whether female acquisition campaigns maintain the higher per-transaction value or adjust strategy accordingly.</w:t>
      </w:r>
    </w:p>
    <w:p>
      <w:pPr>
        <w:spacing w:after="80"/>
      </w:pPr>
    </w:p>
    <w:p>
      <w:pPr>
        <w:pStyle w:val="Heading2"/>
        <w:spacing w:before="200" w:after="100"/>
      </w:pPr>
      <w:r>
        <w:rPr>
          <w:rFonts w:ascii="Arial" w:cs="Arial" w:eastAsia="Arial" w:hAnsi="Arial"/>
          <w:b/>
          <w:bCs/>
          <w:color w:val="2563EB"/>
          <w:sz w:val="26"/>
          <w:szCs w:val="26"/>
        </w:rPr>
        <w:t xml:space="preserve">Recommendation 5 — Capitalize on Express Shipping Preference</w:t>
      </w:r>
    </w:p>
    <w:p>
      <w:pPr>
        <w:spacing w:after="100"/>
        <w:jc w:val="left"/>
      </w:pPr>
      <w:r>
        <w:rPr>
          <w:rFonts w:ascii="Arial" w:cs="Arial" w:eastAsia="Arial" w:hAnsi="Arial"/>
          <w:b w:val="false"/>
          <w:bCs w:val="false"/>
          <w:i w:val="false"/>
          <w:iCs w:val="false"/>
          <w:color w:val="1E293B"/>
          <w:sz w:val="20"/>
          <w:szCs w:val="20"/>
        </w:rPr>
        <w:t xml:space="preserve">Current state: Express shipping customers spend $60.48 vs $58.46 for Standard — a $2.02 premium per transaction.</w:t>
      </w:r>
    </w:p>
    <w:p>
      <w:pPr>
        <w:spacing w:after="60"/>
      </w:pPr>
    </w:p>
    <w:p>
      <w:pPr>
        <w:pStyle w:val="ListParagraph"/>
        <w:numPr>
          <w:ilvl w:val="0"/>
          <w:numId w:val="2"/>
        </w:numPr>
        <w:spacing w:after="80"/>
      </w:pPr>
      <w:r>
        <w:rPr>
          <w:rFonts w:ascii="Arial" w:cs="Arial" w:eastAsia="Arial" w:hAnsi="Arial"/>
          <w:color w:val="1E293B"/>
          <w:sz w:val="20"/>
          <w:szCs w:val="20"/>
        </w:rPr>
        <w:t xml:space="preserve">Promote Express shipping as a default upsell at checkout, particularly for purchases above $70, where urgency and price insensitivity align.</w:t>
      </w:r>
    </w:p>
    <w:p>
      <w:pPr>
        <w:pStyle w:val="ListParagraph"/>
        <w:numPr>
          <w:ilvl w:val="0"/>
          <w:numId w:val="2"/>
        </w:numPr>
        <w:spacing w:after="80"/>
      </w:pPr>
      <w:r>
        <w:rPr>
          <w:rFonts w:ascii="Arial" w:cs="Arial" w:eastAsia="Arial" w:hAnsi="Arial"/>
          <w:color w:val="1E293B"/>
          <w:sz w:val="20"/>
          <w:szCs w:val="20"/>
        </w:rPr>
        <w:t xml:space="preserve">Introduce a "Shipping Upgrade Bundle" — free Express shipping for purchases of 2+ items — to encourage larger basket sizes.</w:t>
      </w:r>
    </w:p>
    <w:p>
      <w:pPr>
        <w:pStyle w:val="ListParagraph"/>
        <w:numPr>
          <w:ilvl w:val="0"/>
          <w:numId w:val="2"/>
        </w:numPr>
        <w:spacing w:after="80"/>
      </w:pPr>
      <w:r>
        <w:rPr>
          <w:rFonts w:ascii="Arial" w:cs="Arial" w:eastAsia="Arial" w:hAnsi="Arial"/>
          <w:color w:val="1E293B"/>
          <w:sz w:val="20"/>
          <w:szCs w:val="20"/>
        </w:rPr>
        <w:t xml:space="preserve">Explore whether same-day or Next Day Air customers show even higher spend correlations to build the business case for premium delivery expansion.</w:t>
      </w:r>
    </w:p>
    <w:p>
      <w:pPr>
        <w:spacing w:after="80"/>
      </w:pPr>
    </w:p>
    <w:p>
      <w:pPr>
        <w:pStyle w:val="Heading2"/>
        <w:spacing w:before="200" w:after="100"/>
      </w:pPr>
      <w:r>
        <w:rPr>
          <w:rFonts w:ascii="Arial" w:cs="Arial" w:eastAsia="Arial" w:hAnsi="Arial"/>
          <w:b/>
          <w:bCs/>
          <w:color w:val="2563EB"/>
          <w:sz w:val="26"/>
          <w:szCs w:val="26"/>
        </w:rPr>
        <w:t xml:space="preserve">Recommendation 6 — Invest in the 35–44 and 18–24 Age Segments</w:t>
      </w:r>
    </w:p>
    <w:p>
      <w:pPr>
        <w:spacing w:after="100"/>
        <w:jc w:val="left"/>
      </w:pPr>
      <w:r>
        <w:rPr>
          <w:rFonts w:ascii="Arial" w:cs="Arial" w:eastAsia="Arial" w:hAnsi="Arial"/>
          <w:b w:val="false"/>
          <w:bCs w:val="false"/>
          <w:i w:val="false"/>
          <w:iCs w:val="false"/>
          <w:color w:val="1E293B"/>
          <w:sz w:val="20"/>
          <w:szCs w:val="20"/>
        </w:rPr>
        <w:t xml:space="preserve">Current state: The 25–34 and 45–54 age groups dominate revenue (~39% combined). The 35–44 group ($43,463 / 18.6%) and 18–24 group ($29,258 / 12.6%) are underperforming relative to size.</w:t>
      </w:r>
    </w:p>
    <w:p>
      <w:pPr>
        <w:spacing w:after="60"/>
      </w:pPr>
    </w:p>
    <w:p>
      <w:pPr>
        <w:pStyle w:val="ListParagraph"/>
        <w:numPr>
          <w:ilvl w:val="0"/>
          <w:numId w:val="2"/>
        </w:numPr>
        <w:spacing w:after="80"/>
      </w:pPr>
      <w:r>
        <w:rPr>
          <w:rFonts w:ascii="Arial" w:cs="Arial" w:eastAsia="Arial" w:hAnsi="Arial"/>
          <w:color w:val="1E293B"/>
          <w:sz w:val="20"/>
          <w:szCs w:val="20"/>
        </w:rPr>
        <w:t xml:space="preserve">For 18–24: Launch "Student/Young Professional" campaigns featuring budget-conscious entry-level products with social media-first content (Instagram, TikTok reels).</w:t>
      </w:r>
    </w:p>
    <w:p>
      <w:pPr>
        <w:pStyle w:val="ListParagraph"/>
        <w:numPr>
          <w:ilvl w:val="0"/>
          <w:numId w:val="2"/>
        </w:numPr>
        <w:spacing w:after="80"/>
      </w:pPr>
      <w:r>
        <w:rPr>
          <w:rFonts w:ascii="Arial" w:cs="Arial" w:eastAsia="Arial" w:hAnsi="Arial"/>
          <w:color w:val="1E293B"/>
          <w:sz w:val="20"/>
          <w:szCs w:val="20"/>
        </w:rPr>
        <w:t xml:space="preserve">For 35–44: This group likely has high disposable income but low engagement — deploy personalized email re-engagement campaigns featuring curated product recommendations based on previous purchase history.</w:t>
      </w:r>
    </w:p>
    <w:p>
      <w:pPr>
        <w:pStyle w:val="ListParagraph"/>
        <w:numPr>
          <w:ilvl w:val="0"/>
          <w:numId w:val="2"/>
        </w:numPr>
        <w:spacing w:after="80"/>
      </w:pPr>
      <w:r>
        <w:rPr>
          <w:rFonts w:ascii="Arial" w:cs="Arial" w:eastAsia="Arial" w:hAnsi="Arial"/>
          <w:color w:val="1E293B"/>
          <w:sz w:val="20"/>
          <w:szCs w:val="20"/>
        </w:rPr>
        <w:t xml:space="preserve">For 65+: Consider a simplified shopping experience (larger text, simplified checkout, phone-based customer service) to remove conversion friction.</w:t>
      </w:r>
    </w:p>
    <w:p>
      <w:pPr>
        <w:spacing w:after="80"/>
      </w:pPr>
    </w:p>
    <w:p>
      <w:pPr>
        <w:pStyle w:val="Heading2"/>
        <w:spacing w:before="200" w:after="100"/>
      </w:pPr>
      <w:r>
        <w:rPr>
          <w:rFonts w:ascii="Arial" w:cs="Arial" w:eastAsia="Arial" w:hAnsi="Arial"/>
          <w:b/>
          <w:bCs/>
          <w:color w:val="2563EB"/>
          <w:sz w:val="26"/>
          <w:szCs w:val="26"/>
        </w:rPr>
        <w:t xml:space="preserve">Executive Summary: Priority Action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60"/>
        <w:gridCol w:w="2000"/>
      </w:tblGrid>
      <w:tr>
        <w:trPr>
          <w:tblHeader/>
        </w:trPr>
        <w:tc>
          <w:tcPr>
            <w:tcW w:type="dxa" w:w="3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Recommendation</w:t>
            </w:r>
          </w:p>
        </w:tc>
        <w:tc>
          <w:tcPr>
            <w:tcW w:type="dxa" w:w="2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c>
          <w:tcPr>
            <w:tcW w:type="dxa" w:w="236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Impact</w:t>
            </w:r>
          </w:p>
        </w:tc>
        <w:tc>
          <w:tcPr>
            <w:tcW w:type="dxa" w:w="2000"/>
            <w:tcBorders>
              <w:top w:val="single" w:color="BFDBFE" w:sz="1"/>
              <w:left w:val="single" w:color="BFDBFE" w:sz="1"/>
              <w:bottom w:val="single" w:color="BFDBFE" w:sz="1"/>
              <w:right w:val="single" w:color="BFDBF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Timeline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Redesign subscription program</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Critical</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Revenue per subscriber +10%</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Q1 2025</w:t>
            </w:r>
          </w:p>
        </w:tc>
      </w:tr>
      <w:tr>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Reduce discount dependency (Hat, Sneakers)</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High</w:t>
            </w:r>
          </w:p>
        </w:tc>
        <w:tc>
          <w:tcPr>
            <w:tcW w:type="dxa" w:w="2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Margin improvement 5–8%</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Q1 2025</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New customer acquisition campaign</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High</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New customer base +15%</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Q2 2025</w:t>
            </w:r>
          </w:p>
        </w:tc>
      </w:tr>
      <w:tr>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Female segment marketing investment</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Medium</w:t>
            </w:r>
          </w:p>
        </w:tc>
        <w:tc>
          <w:tcPr>
            <w:tcW w:type="dxa" w:w="2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Female revenue share +5%</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Q2 2025</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Express shipping upsell optimization</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Medium</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Avg basket size +$2–4</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Q1 2025</w:t>
            </w:r>
          </w:p>
        </w:tc>
      </w:tr>
      <w:tr>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Age-segment targeted campaigns (18–24, 65+)</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Medium</w:t>
            </w:r>
          </w:p>
        </w:tc>
        <w:tc>
          <w:tcPr>
            <w:tcW w:type="dxa" w:w="2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Segment revenue +8%</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9"/>
                <w:szCs w:val="19"/>
              </w:rPr>
              <w:t xml:space="preserve">Q3 2025</w:t>
            </w:r>
          </w:p>
        </w:tc>
      </w:tr>
    </w:tbl>
    <w:p>
      <w:pPr>
        <w:spacing w:after="160"/>
      </w:pPr>
    </w:p>
    <w:p>
      <w:pPr>
        <w:spacing w:after="100"/>
        <w:jc w:val="left"/>
      </w:pPr>
      <w:r>
        <w:rPr>
          <w:rFonts w:ascii="Arial" w:cs="Arial" w:eastAsia="Arial" w:hAnsi="Arial"/>
          <w:b w:val="false"/>
          <w:bCs w:val="false"/>
          <w:i/>
          <w:iCs/>
          <w:color w:val="6B7280"/>
          <w:sz w:val="20"/>
          <w:szCs w:val="20"/>
        </w:rPr>
        <w:t xml:space="preserve">This report was prepared as part of a data analytics project using a retail customer behavior dataset. All findings are based on the provided dataset and should be validated against live operational data before implementing strategic changes.</w:t>
      </w:r>
    </w:p>
    <w:sectPr>
      <w:headerReference w:type="default" r:id="rId6"/>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1"/>
      </w:pBdr>
      <w:tabs>
        <w:tab w:val="right" w:pos="9026"/>
      </w:tabs>
      <w:spacing w:before="80"/>
    </w:pPr>
    <w:r>
      <w:rPr>
        <w:rFonts w:ascii="Arial" w:cs="Arial" w:eastAsia="Arial" w:hAnsi="Arial"/>
        <w:color w:val="6B7280"/>
        <w:sz w:val="16"/>
        <w:szCs w:val="16"/>
      </w:rPr>
      <w:t xml:space="preserve">Confidential | Data Analytics Project</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b/>
        <w:bCs/>
        <w:color w:val="1B3A6B"/>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9026"/>
      </w:tabs>
      <w:spacing w:after="80"/>
    </w:pPr>
    <w:r>
      <w:rPr>
        <w:rFonts w:ascii="Arial" w:cs="Arial" w:eastAsia="Arial" w:hAnsi="Arial"/>
        <w:b/>
        <w:bCs/>
        <w:color w:val="1B3A6B"/>
        <w:sz w:val="18"/>
        <w:szCs w:val="18"/>
      </w:rPr>
      <w:t xml:space="preserve">Customer Behavior Analysis Report</w:t>
    </w:r>
    <w:r>
      <w:rPr>
        <w:rFonts w:ascii="Arial" w:cs="Arial" w:eastAsia="Arial" w:hAnsi="Arial"/>
        <w:sz w:val="18"/>
        <w:szCs w:val="18"/>
      </w:rPr>
      <w:t xml:space="preserve">	</w:t>
    </w:r>
    <w:r>
      <w:rPr>
        <w:rFonts w:ascii="Arial" w:cs="Arial" w:eastAsia="Arial" w:hAnsi="Arial"/>
        <w:color w:val="6B7280"/>
        <w:sz w:val="16"/>
        <w:szCs w:val="16"/>
      </w:rPr>
      <w:t xml:space="preserve">Retail &amp; E-Commerce Analytics |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4"/>
      <w:szCs w:val="34"/>
    </w:rPr>
  </w:style>
  <w:style w:type="paragraph" w:styleId="Heading2">
    <w:name w:val="Heading 2"/>
    <w:basedOn w:val="Normal"/>
    <w:next w:val="Normal"/>
    <w:qFormat/>
    <w:pPr>
      <w:spacing w:before="200" w:after="1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2026-03-15T09:02:40.777Z</dcterms:created>
  <dcterms:modified xsi:type="dcterms:W3CDTF">2026-03-15T09:02:40.778Z</dcterms:modified>
</cp:coreProperties>
</file>

<file path=docProps/custom.xml><?xml version="1.0" encoding="utf-8"?>
<Properties xmlns="http://schemas.openxmlformats.org/officeDocument/2006/custom-properties" xmlns:vt="http://schemas.openxmlformats.org/officeDocument/2006/docPropsVTypes"/>
</file>