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7F8AA" w14:textId="5AEC61F4" w:rsidR="00F06280" w:rsidRPr="00F06280" w:rsidRDefault="00F06280" w:rsidP="00F06280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>RT-</w:t>
      </w:r>
      <w:proofErr w:type="spellStart"/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>HaND_C</w:t>
      </w:r>
      <w:proofErr w:type="spellEnd"/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 xml:space="preserve"> Retrospective Dataset Build SOP Appendix </w:t>
      </w:r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>4</w:t>
      </w:r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  <w:r w:rsidRPr="00F06280">
        <w:rPr>
          <w:rFonts w:ascii="Arial" w:eastAsia="Times New Roman" w:hAnsi="Arial" w:cs="Arial"/>
          <w:b/>
          <w:bCs/>
          <w:kern w:val="0"/>
          <w14:ligatures w14:val="none"/>
        </w:rPr>
        <w:t>Dataset Features</w:t>
      </w:r>
    </w:p>
    <w:p w14:paraId="5FCB757C" w14:textId="77777777" w:rsidR="00F06280" w:rsidRPr="00F06280" w:rsidRDefault="00F06280" w:rsidP="00F06280">
      <w:pPr>
        <w:rPr>
          <w:rFonts w:ascii="Arial" w:eastAsia="Times New Roman" w:hAnsi="Arial" w:cs="Arial"/>
          <w:kern w:val="0"/>
          <w14:ligatures w14:val="none"/>
        </w:rPr>
      </w:pPr>
    </w:p>
    <w:p w14:paraId="6E1F4D54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061B8E75" w14:textId="50E3414B" w:rsidR="005C16E4" w:rsidRPr="00F06280" w:rsidRDefault="005C16E4" w:rsidP="005C16E4">
      <w:pPr>
        <w:pStyle w:val="NoSpacing"/>
        <w:rPr>
          <w:rFonts w:ascii="Arial" w:hAnsi="Arial" w:cs="Arial"/>
          <w:sz w:val="18"/>
          <w:szCs w:val="18"/>
        </w:rPr>
      </w:pPr>
      <w:r w:rsidRPr="00F06280">
        <w:rPr>
          <w:rFonts w:ascii="Arial" w:hAnsi="Arial" w:cs="Arial"/>
          <w:sz w:val="18"/>
          <w:szCs w:val="18"/>
        </w:rPr>
        <w:t>Last updated: 1</w:t>
      </w:r>
      <w:r w:rsidR="00D20C6F" w:rsidRPr="00F06280">
        <w:rPr>
          <w:rFonts w:ascii="Arial" w:hAnsi="Arial" w:cs="Arial"/>
          <w:sz w:val="18"/>
          <w:szCs w:val="18"/>
        </w:rPr>
        <w:t>2</w:t>
      </w:r>
      <w:r w:rsidRPr="00F06280">
        <w:rPr>
          <w:rFonts w:ascii="Arial" w:hAnsi="Arial" w:cs="Arial"/>
          <w:sz w:val="18"/>
          <w:szCs w:val="18"/>
        </w:rPr>
        <w:t>/11/2024</w:t>
      </w:r>
    </w:p>
    <w:p w14:paraId="43935473" w14:textId="77777777" w:rsidR="005C16E4" w:rsidRPr="00F06280" w:rsidRDefault="005C16E4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43341575" w14:textId="77777777" w:rsidR="005C16E4" w:rsidRPr="00F06280" w:rsidRDefault="005C16E4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43F6853F" w14:textId="1BCF57F6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  <w:r w:rsidRPr="00F06280">
        <w:rPr>
          <w:rFonts w:ascii="Arial" w:eastAsia="Times New Roman" w:hAnsi="Arial" w:cs="Arial"/>
          <w:kern w:val="0"/>
          <w14:ligatures w14:val="none"/>
        </w:rPr>
        <w:t>Examples of tables demonstrating patient population of dataset.</w:t>
      </w:r>
    </w:p>
    <w:p w14:paraId="63628D90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2937" w:type="dxa"/>
        <w:jc w:val="center"/>
        <w:tblLook w:val="04A0" w:firstRow="1" w:lastRow="0" w:firstColumn="1" w:lastColumn="0" w:noHBand="0" w:noVBand="1"/>
      </w:tblPr>
      <w:tblGrid>
        <w:gridCol w:w="987"/>
        <w:gridCol w:w="979"/>
        <w:gridCol w:w="979"/>
      </w:tblGrid>
      <w:tr w:rsidR="001D692A" w:rsidRPr="00F06280" w14:paraId="4FFE46CF" w14:textId="77777777" w:rsidTr="00DD241F">
        <w:trPr>
          <w:trHeight w:val="520"/>
          <w:jc w:val="center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B8AF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Gender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F69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FE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56209D04" w14:textId="77777777" w:rsidTr="00DD241F">
        <w:trPr>
          <w:trHeight w:val="130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530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Female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3FF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805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82FB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27.8%</w:t>
            </w:r>
          </w:p>
        </w:tc>
      </w:tr>
      <w:tr w:rsidR="001D692A" w:rsidRPr="00F06280" w14:paraId="623D9F13" w14:textId="77777777" w:rsidTr="00DD241F">
        <w:trPr>
          <w:trHeight w:val="130"/>
          <w:jc w:val="center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8762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87C7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BA94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72.2%</w:t>
            </w:r>
          </w:p>
        </w:tc>
      </w:tr>
    </w:tbl>
    <w:p w14:paraId="710C7789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734" w:type="dxa"/>
        <w:jc w:val="center"/>
        <w:tblLook w:val="04A0" w:firstRow="1" w:lastRow="0" w:firstColumn="1" w:lastColumn="0" w:noHBand="0" w:noVBand="1"/>
      </w:tblPr>
      <w:tblGrid>
        <w:gridCol w:w="1858"/>
        <w:gridCol w:w="938"/>
        <w:gridCol w:w="938"/>
      </w:tblGrid>
      <w:tr w:rsidR="001D692A" w:rsidRPr="00F06280" w14:paraId="5140E574" w14:textId="77777777" w:rsidTr="00DD241F">
        <w:trPr>
          <w:trHeight w:val="687"/>
          <w:jc w:val="center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C89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Race Group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329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3CE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3A262C60" w14:textId="77777777" w:rsidTr="00DD241F">
        <w:trPr>
          <w:trHeight w:val="171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6410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Asian Groups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A40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33F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3.4%</w:t>
            </w:r>
          </w:p>
        </w:tc>
      </w:tr>
      <w:tr w:rsidR="001D692A" w:rsidRPr="00F06280" w14:paraId="24C8202C" w14:textId="77777777" w:rsidTr="00DD241F">
        <w:trPr>
          <w:trHeight w:val="171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332B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Black Groups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DFB9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93A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6.2%</w:t>
            </w:r>
          </w:p>
        </w:tc>
      </w:tr>
      <w:tr w:rsidR="001D692A" w:rsidRPr="00F06280" w14:paraId="0C9AF184" w14:textId="77777777" w:rsidTr="00DD241F">
        <w:trPr>
          <w:trHeight w:val="171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FBF2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White Groups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4316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8A7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69.0%</w:t>
            </w:r>
          </w:p>
        </w:tc>
      </w:tr>
      <w:tr w:rsidR="001D692A" w:rsidRPr="00F06280" w14:paraId="4623832B" w14:textId="77777777" w:rsidTr="00DD241F">
        <w:trPr>
          <w:trHeight w:val="171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1937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Other Groups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18A9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8C0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3.8%</w:t>
            </w:r>
          </w:p>
        </w:tc>
      </w:tr>
      <w:tr w:rsidR="001D692A" w:rsidRPr="00F06280" w14:paraId="0E321F35" w14:textId="77777777" w:rsidTr="00DD241F">
        <w:trPr>
          <w:trHeight w:val="171"/>
          <w:jc w:val="center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E52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Unknown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15E2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5D97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17.6%</w:t>
            </w:r>
          </w:p>
        </w:tc>
      </w:tr>
    </w:tbl>
    <w:p w14:paraId="33E3F452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268"/>
        <w:gridCol w:w="960"/>
        <w:gridCol w:w="960"/>
      </w:tblGrid>
      <w:tr w:rsidR="001D692A" w:rsidRPr="00F06280" w14:paraId="660E115B" w14:textId="77777777" w:rsidTr="00DD241F">
        <w:trPr>
          <w:trHeight w:val="115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ACE1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Age at Diagnosis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0B54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7C51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0DDF1712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B968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&lt;40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B37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5FD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3.3%</w:t>
            </w:r>
          </w:p>
        </w:tc>
      </w:tr>
      <w:tr w:rsidR="001D692A" w:rsidRPr="00F06280" w14:paraId="6EF5E6DD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B2DB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40-49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579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7F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10.3%</w:t>
            </w:r>
          </w:p>
        </w:tc>
      </w:tr>
      <w:tr w:rsidR="001D692A" w:rsidRPr="00F06280" w14:paraId="7EE1AED5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8C57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50-59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E0B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90A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26.0%</w:t>
            </w:r>
          </w:p>
        </w:tc>
      </w:tr>
      <w:tr w:rsidR="001D692A" w:rsidRPr="00F06280" w14:paraId="6ACE590C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22E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60-69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E08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3DC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31.0%</w:t>
            </w:r>
          </w:p>
        </w:tc>
      </w:tr>
      <w:tr w:rsidR="001D692A" w:rsidRPr="00F06280" w14:paraId="01528C7F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214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70-79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E39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6F3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19.9%</w:t>
            </w:r>
          </w:p>
        </w:tc>
      </w:tr>
      <w:tr w:rsidR="001D692A" w:rsidRPr="00F06280" w14:paraId="03B336E6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97F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80-89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931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9D1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8.2%</w:t>
            </w:r>
          </w:p>
        </w:tc>
      </w:tr>
      <w:tr w:rsidR="001D692A" w:rsidRPr="00F06280" w14:paraId="35666DA9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BEF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&gt;90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DAE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DEC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1.3%</w:t>
            </w:r>
          </w:p>
        </w:tc>
      </w:tr>
    </w:tbl>
    <w:p w14:paraId="3589CAA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023055D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2614"/>
        <w:gridCol w:w="960"/>
        <w:gridCol w:w="960"/>
      </w:tblGrid>
      <w:tr w:rsidR="001D692A" w:rsidRPr="00F06280" w14:paraId="47486E67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E58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Co-morbidities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76B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37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4A96F3AB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4986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Hypertension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66E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9CB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40.4%</w:t>
            </w:r>
          </w:p>
        </w:tc>
      </w:tr>
      <w:tr w:rsidR="001D692A" w:rsidRPr="00F06280" w14:paraId="5B9E466F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C323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Heart_disease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CB4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AD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6.1%</w:t>
            </w:r>
          </w:p>
        </w:tc>
      </w:tr>
      <w:tr w:rsidR="001D692A" w:rsidRPr="00F06280" w14:paraId="23BA3118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F6F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Chronic_resp_disease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A8D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252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20.3%</w:t>
            </w:r>
          </w:p>
        </w:tc>
      </w:tr>
      <w:tr w:rsidR="001D692A" w:rsidRPr="00F06280" w14:paraId="1EBEDAB4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D16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Chronic_liver_disease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46E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0C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4.6%</w:t>
            </w:r>
          </w:p>
        </w:tc>
      </w:tr>
      <w:tr w:rsidR="001D692A" w:rsidRPr="00F06280" w14:paraId="418F3AAD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F84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Chronic_kidney_disease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307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A81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4.1%</w:t>
            </w:r>
          </w:p>
        </w:tc>
      </w:tr>
      <w:tr w:rsidR="001D692A" w:rsidRPr="00F06280" w14:paraId="5D42F48C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C608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Diabetes_mellitus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E9D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A04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9.2%</w:t>
            </w:r>
          </w:p>
        </w:tc>
      </w:tr>
      <w:tr w:rsidR="001D692A" w:rsidRPr="00F06280" w14:paraId="4F35F1DC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B81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Atrial_fibrillation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C3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4B0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5.4%</w:t>
            </w:r>
          </w:p>
        </w:tc>
      </w:tr>
      <w:tr w:rsidR="001D692A" w:rsidRPr="00F06280" w14:paraId="629A1FB1" w14:textId="77777777" w:rsidTr="00DD241F">
        <w:trPr>
          <w:trHeight w:val="288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7157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NonHNCCancerDx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07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FD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9.5%</w:t>
            </w:r>
          </w:p>
        </w:tc>
      </w:tr>
    </w:tbl>
    <w:p w14:paraId="4DBEC46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2961A555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784" w:type="dxa"/>
        <w:jc w:val="center"/>
        <w:tblLook w:val="04A0" w:firstRow="1" w:lastRow="0" w:firstColumn="1" w:lastColumn="0" w:noHBand="0" w:noVBand="1"/>
      </w:tblPr>
      <w:tblGrid>
        <w:gridCol w:w="1810"/>
        <w:gridCol w:w="987"/>
        <w:gridCol w:w="987"/>
      </w:tblGrid>
      <w:tr w:rsidR="001D692A" w:rsidRPr="00F06280" w14:paraId="141B954B" w14:textId="77777777" w:rsidTr="00DD241F">
        <w:trPr>
          <w:trHeight w:val="893"/>
          <w:jc w:val="center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82ED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Year of Diagnosis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77CA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7B5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55E2BF41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2C2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Pre-2010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6A3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0F8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1.4%</w:t>
            </w:r>
          </w:p>
        </w:tc>
      </w:tr>
      <w:tr w:rsidR="001D692A" w:rsidRPr="00F06280" w14:paraId="227EE1E5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FB3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C48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F8D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5.7%</w:t>
            </w:r>
          </w:p>
        </w:tc>
      </w:tr>
      <w:tr w:rsidR="001D692A" w:rsidRPr="00F06280" w14:paraId="03E64628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DD1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9F7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3F1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7.1%</w:t>
            </w:r>
          </w:p>
        </w:tc>
      </w:tr>
      <w:tr w:rsidR="001D692A" w:rsidRPr="00F06280" w14:paraId="18C90F4B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215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7C1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9A7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7.4%</w:t>
            </w:r>
          </w:p>
        </w:tc>
      </w:tr>
      <w:tr w:rsidR="001D692A" w:rsidRPr="00F06280" w14:paraId="7AEAA24D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79F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3B7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47B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6.9%</w:t>
            </w:r>
          </w:p>
        </w:tc>
      </w:tr>
      <w:tr w:rsidR="001D692A" w:rsidRPr="00F06280" w14:paraId="31A6BD8B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6E3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12C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BA6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7.2%</w:t>
            </w:r>
          </w:p>
        </w:tc>
      </w:tr>
      <w:tr w:rsidR="001D692A" w:rsidRPr="00F06280" w14:paraId="4EA08BF2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3E1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B8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383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7.4%</w:t>
            </w:r>
          </w:p>
        </w:tc>
      </w:tr>
      <w:tr w:rsidR="001D692A" w:rsidRPr="00F06280" w14:paraId="38324CC3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29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E42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7B9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7.5%</w:t>
            </w:r>
          </w:p>
        </w:tc>
      </w:tr>
      <w:tr w:rsidR="001D692A" w:rsidRPr="00F06280" w14:paraId="0D5B8F95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A6C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487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BB0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7.4%</w:t>
            </w:r>
          </w:p>
        </w:tc>
      </w:tr>
      <w:tr w:rsidR="001D692A" w:rsidRPr="00F06280" w14:paraId="77E189BB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00E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531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7E6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8.0%</w:t>
            </w:r>
          </w:p>
        </w:tc>
      </w:tr>
      <w:tr w:rsidR="001D692A" w:rsidRPr="00F06280" w14:paraId="09AB2609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CF1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288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CE8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7.7%</w:t>
            </w:r>
          </w:p>
        </w:tc>
      </w:tr>
      <w:tr w:rsidR="001D692A" w:rsidRPr="00F06280" w14:paraId="48ACC167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D1E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725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80B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6.1%</w:t>
            </w:r>
          </w:p>
        </w:tc>
      </w:tr>
      <w:tr w:rsidR="001D692A" w:rsidRPr="00F06280" w14:paraId="77FF5B25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781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E4D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02A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7.8%</w:t>
            </w:r>
          </w:p>
        </w:tc>
      </w:tr>
      <w:tr w:rsidR="001D692A" w:rsidRPr="00F06280" w14:paraId="4ECCBCD0" w14:textId="77777777" w:rsidTr="00DD241F">
        <w:trPr>
          <w:trHeight w:val="178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928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0BA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FD1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8.1%</w:t>
            </w:r>
          </w:p>
        </w:tc>
      </w:tr>
      <w:tr w:rsidR="001D692A" w:rsidRPr="00F06280" w14:paraId="6AE59466" w14:textId="77777777" w:rsidTr="00DD241F">
        <w:trPr>
          <w:trHeight w:val="200"/>
          <w:jc w:val="center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66C2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2023 (to 4</w:t>
            </w: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vertAlign w:val="superscript"/>
                <w:lang w:eastAsia="en-GB"/>
                <w14:ligatures w14:val="none"/>
              </w:rPr>
              <w:t>th</w:t>
            </w: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Oct)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E93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649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4.2%</w:t>
            </w:r>
          </w:p>
        </w:tc>
      </w:tr>
    </w:tbl>
    <w:p w14:paraId="047AF90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7CB051A3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1338E117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4766" w:type="dxa"/>
        <w:jc w:val="center"/>
        <w:tblLook w:val="04A0" w:firstRow="1" w:lastRow="0" w:firstColumn="1" w:lastColumn="0" w:noHBand="0" w:noVBand="1"/>
      </w:tblPr>
      <w:tblGrid>
        <w:gridCol w:w="2828"/>
        <w:gridCol w:w="969"/>
        <w:gridCol w:w="969"/>
      </w:tblGrid>
      <w:tr w:rsidR="001D692A" w:rsidRPr="00F06280" w14:paraId="0A6A8CE6" w14:textId="77777777" w:rsidTr="00DD241F">
        <w:trPr>
          <w:trHeight w:val="944"/>
          <w:jc w:val="center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E109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HN Tumour Site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A27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F9B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59954DB9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00B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CUP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1A7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3B5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3.4%</w:t>
            </w:r>
          </w:p>
        </w:tc>
      </w:tr>
      <w:tr w:rsidR="001D692A" w:rsidRPr="00F06280" w14:paraId="6D137B85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993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Hypopharynx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634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2B0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5.3%</w:t>
            </w:r>
          </w:p>
        </w:tc>
      </w:tr>
      <w:tr w:rsidR="001D692A" w:rsidRPr="00F06280" w14:paraId="298FAAC0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8971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Lacrimal gland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6BB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707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7F72DD13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4498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Larynx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419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93B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19.6%</w:t>
            </w:r>
          </w:p>
        </w:tc>
      </w:tr>
      <w:tr w:rsidR="001D692A" w:rsidRPr="00F06280" w14:paraId="63343E6C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282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Multiple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D0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C44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2.2%</w:t>
            </w:r>
          </w:p>
        </w:tc>
      </w:tr>
      <w:tr w:rsidR="001D692A" w:rsidRPr="00F06280" w14:paraId="45CD4860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928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Nasopharynx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D79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F0C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3.9%</w:t>
            </w:r>
          </w:p>
        </w:tc>
      </w:tr>
      <w:tr w:rsidR="001D692A" w:rsidRPr="00F06280" w14:paraId="273E90AB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550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Oral cavity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CD2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487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22.1%</w:t>
            </w:r>
          </w:p>
        </w:tc>
      </w:tr>
      <w:tr w:rsidR="001D692A" w:rsidRPr="00F06280" w14:paraId="48DCFF65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BED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Oropharynx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472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853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33.3%</w:t>
            </w:r>
          </w:p>
        </w:tc>
      </w:tr>
      <w:tr w:rsidR="001D692A" w:rsidRPr="00F06280" w14:paraId="7783AFF7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A7E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Paranasal sinus/nasal cavity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E79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8A6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4.4%</w:t>
            </w:r>
          </w:p>
        </w:tc>
      </w:tr>
      <w:tr w:rsidR="001D692A" w:rsidRPr="00F06280" w14:paraId="78704CD6" w14:textId="77777777" w:rsidTr="00DD241F">
        <w:trPr>
          <w:trHeight w:val="188"/>
          <w:jc w:val="center"/>
        </w:trPr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E0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Salivary gland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CB8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0DB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5.6%</w:t>
            </w:r>
          </w:p>
        </w:tc>
      </w:tr>
    </w:tbl>
    <w:p w14:paraId="0740B285" w14:textId="610D0AF4" w:rsidR="00F06280" w:rsidRDefault="00F06280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4C6A0F07" w14:textId="77777777" w:rsidR="00F06280" w:rsidRDefault="00F0628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 w:type="page"/>
      </w:r>
    </w:p>
    <w:p w14:paraId="5E7F9F3F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580D46B2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440" w:type="dxa"/>
        <w:jc w:val="center"/>
        <w:tblLook w:val="04A0" w:firstRow="1" w:lastRow="0" w:firstColumn="1" w:lastColumn="0" w:noHBand="0" w:noVBand="1"/>
      </w:tblPr>
      <w:tblGrid>
        <w:gridCol w:w="1520"/>
        <w:gridCol w:w="960"/>
        <w:gridCol w:w="960"/>
      </w:tblGrid>
      <w:tr w:rsidR="001D692A" w:rsidRPr="00F06280" w14:paraId="00D4A758" w14:textId="77777777" w:rsidTr="00DD241F">
        <w:trPr>
          <w:trHeight w:val="576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E0537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Status as of 4.10.23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CDB3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00C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727F872C" w14:textId="77777777" w:rsidTr="00DD241F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854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CCD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234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50.3%</w:t>
            </w:r>
          </w:p>
        </w:tc>
      </w:tr>
      <w:tr w:rsidR="001D692A" w:rsidRPr="00F06280" w14:paraId="43374B9F" w14:textId="77777777" w:rsidTr="00DD241F">
        <w:trPr>
          <w:trHeight w:val="288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87EA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E94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6D3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49.7%</w:t>
            </w:r>
          </w:p>
        </w:tc>
      </w:tr>
    </w:tbl>
    <w:p w14:paraId="3B5CEEC6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7740FDDD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1358029F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326940A4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4100"/>
        <w:gridCol w:w="960"/>
        <w:gridCol w:w="960"/>
      </w:tblGrid>
      <w:tr w:rsidR="001D692A" w:rsidRPr="00F06280" w14:paraId="6A9B618B" w14:textId="77777777" w:rsidTr="00DD241F">
        <w:trPr>
          <w:trHeight w:val="1440"/>
          <w:jc w:val="center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193DF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Histopathology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7FA6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A82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3F961568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0F3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Acinar cell adenocarcinoma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F5F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F30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0.4%</w:t>
            </w:r>
          </w:p>
        </w:tc>
      </w:tr>
      <w:tr w:rsidR="001D692A" w:rsidRPr="00F06280" w14:paraId="78D5900F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03A8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Adenocarcinoma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42D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E5E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1.6%</w:t>
            </w:r>
          </w:p>
        </w:tc>
      </w:tr>
      <w:tr w:rsidR="001D692A" w:rsidRPr="00F06280" w14:paraId="5AE3990F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7CE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Adenoid cystic 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2BB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193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2.0%</w:t>
            </w:r>
          </w:p>
        </w:tc>
      </w:tr>
      <w:tr w:rsidR="001D692A" w:rsidRPr="00F06280" w14:paraId="46EA607C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C4F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Adenosquamous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175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5BD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74C3FB2C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47EB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Ameloblastic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D82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9C4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657DB51C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CDB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Basal cell adenocarcinoma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630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1DC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7A4A47B3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CE23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Basaloid SCC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DBD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EF9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7AA25991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8D30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Carcinoma ex pleomorphic adenoma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C9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AE0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0.7%</w:t>
            </w:r>
          </w:p>
        </w:tc>
      </w:tr>
      <w:tr w:rsidR="001D692A" w:rsidRPr="00F06280" w14:paraId="582B6519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FD8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Carcinoma NOS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BC3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8A1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0.3%</w:t>
            </w:r>
          </w:p>
        </w:tc>
      </w:tr>
      <w:tr w:rsidR="001D692A" w:rsidRPr="00F06280" w14:paraId="714FEC02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4F6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Carcinosarcoma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8AF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053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0878614E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064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Chondrosarcoma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8A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CB9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4A45655C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A8D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 situ and dysplasia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AF6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A27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0.3%</w:t>
            </w:r>
          </w:p>
        </w:tc>
      </w:tr>
      <w:tr w:rsidR="001D692A" w:rsidRPr="00F06280" w14:paraId="4FD7D53D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4CF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Lymphoepithelial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8C8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0D1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16ED3E5D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39B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D11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E3C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5D6BBA42" w14:textId="77777777" w:rsidTr="00DD241F">
        <w:trPr>
          <w:trHeight w:val="324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382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Merkel 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C74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B9B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26B4A89A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5DD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Mucoepidermoid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5E6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DE8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1.0%</w:t>
            </w:r>
          </w:p>
        </w:tc>
      </w:tr>
      <w:tr w:rsidR="001D692A" w:rsidRPr="00F06280" w14:paraId="2056991E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E167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Multiple - 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adenosquamous</w:t>
            </w:r>
            <w:proofErr w:type="spellEnd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and SCC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14D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6A9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3D4628B3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636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Multiple - 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merkel</w:t>
            </w:r>
            <w:proofErr w:type="spellEnd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and SCC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A5F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DD99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21800EA1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271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Multiple - SCC (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sarcomatoid</w:t>
            </w:r>
            <w:proofErr w:type="spellEnd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 and olfactory neuroblastoma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121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D94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7F24BBC3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FE0B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Myoepithelial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D7B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758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79E708F2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293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Neuroendocrine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FDA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9AA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07726A3C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32C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Non-intestinal type adenocarcinoma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211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26B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1F7F2C06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4508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NPC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177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84E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2.8%</w:t>
            </w:r>
          </w:p>
        </w:tc>
      </w:tr>
      <w:tr w:rsidR="001D692A" w:rsidRPr="00F06280" w14:paraId="2D56F2DF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B74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Olfactory neuroblastoma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C5A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CEC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5E1B90CE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1B4B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Oncocytic</w:t>
            </w:r>
            <w:proofErr w:type="spellEnd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F49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52A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76444143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1B41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Pleomorphic adenoma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867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AA9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444F356B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A273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Salivary duct 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DA0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775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0.4%</w:t>
            </w:r>
          </w:p>
        </w:tc>
      </w:tr>
      <w:tr w:rsidR="001D692A" w:rsidRPr="00F06280" w14:paraId="5344A231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1F4A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366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8D3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87.0%</w:t>
            </w:r>
          </w:p>
        </w:tc>
      </w:tr>
      <w:tr w:rsidR="001D692A" w:rsidRPr="00F06280" w14:paraId="69306ADF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0D8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SCC (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sarcomatoid</w:t>
            </w:r>
            <w:proofErr w:type="spellEnd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410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1BE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514BAC66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D3D1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SCC (spindle cell)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B47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2F2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3D965671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B3B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Small cell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A4E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5D4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0.3%</w:t>
            </w:r>
          </w:p>
        </w:tc>
      </w:tr>
      <w:tr w:rsidR="001D692A" w:rsidRPr="00F06280" w14:paraId="2A40A9D1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0B3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SNUC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E2F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478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0.3%</w:t>
            </w:r>
          </w:p>
        </w:tc>
      </w:tr>
      <w:tr w:rsidR="001D692A" w:rsidRPr="00F06280" w14:paraId="3CA1E80E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766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Transitional cell carcinoma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AE6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514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28C5C48E" w14:textId="77777777" w:rsidTr="00DD241F">
        <w:trPr>
          <w:trHeight w:val="288"/>
          <w:jc w:val="center"/>
        </w:trPr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38D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Undifferentiated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EB6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350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0.7%</w:t>
            </w:r>
          </w:p>
        </w:tc>
      </w:tr>
    </w:tbl>
    <w:p w14:paraId="461236DB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43CF3D09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00655512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4362" w:type="dxa"/>
        <w:jc w:val="center"/>
        <w:tblLook w:val="04A0" w:firstRow="1" w:lastRow="0" w:firstColumn="1" w:lastColumn="0" w:noHBand="0" w:noVBand="1"/>
      </w:tblPr>
      <w:tblGrid>
        <w:gridCol w:w="2372"/>
        <w:gridCol w:w="995"/>
        <w:gridCol w:w="995"/>
      </w:tblGrid>
      <w:tr w:rsidR="001D692A" w:rsidRPr="00F06280" w14:paraId="7FBC980A" w14:textId="77777777" w:rsidTr="00DD241F">
        <w:trPr>
          <w:trHeight w:val="861"/>
          <w:jc w:val="center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D3C00" w14:textId="172A7206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Disease Stage (Clinical TNM7)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A923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837A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77D32A92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A4BC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5F65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67C8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702B803D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1C75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Benign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AF02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F55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20B4A064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A57C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73AA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3700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8.6%</w:t>
            </w:r>
          </w:p>
        </w:tc>
      </w:tr>
      <w:tr w:rsidR="001D692A" w:rsidRPr="00F06280" w14:paraId="242BACEE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E84E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D937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297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0DDD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10.3%</w:t>
            </w:r>
          </w:p>
        </w:tc>
      </w:tr>
      <w:tr w:rsidR="001D692A" w:rsidRPr="00F06280" w14:paraId="7D14AD28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F18A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III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1520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25DE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13.9%</w:t>
            </w:r>
          </w:p>
        </w:tc>
      </w:tr>
      <w:tr w:rsidR="001D692A" w:rsidRPr="00F06280" w14:paraId="1C589EF8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CCF2" w14:textId="5A1AA922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IV (unspecified)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BAB" w14:textId="29DDB0D9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0B1A" w14:textId="1FFDE051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hAnsi="Arial" w:cs="Arial"/>
                <w:color w:val="000000"/>
                <w:sz w:val="22"/>
                <w:szCs w:val="22"/>
              </w:rPr>
              <w:t>6.0%</w:t>
            </w:r>
          </w:p>
        </w:tc>
      </w:tr>
      <w:tr w:rsidR="001D692A" w:rsidRPr="00F06280" w14:paraId="7C9EA9FA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0624" w14:textId="21C2884A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IVA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6E92" w14:textId="52478623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B8233" w14:textId="69934BCE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hAnsi="Arial" w:cs="Arial"/>
                <w:color w:val="000000"/>
                <w:sz w:val="22"/>
                <w:szCs w:val="22"/>
              </w:rPr>
              <w:t>47.4%</w:t>
            </w:r>
          </w:p>
        </w:tc>
      </w:tr>
      <w:tr w:rsidR="001D692A" w:rsidRPr="00F06280" w14:paraId="25A1A56E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AE94D" w14:textId="41C3221B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IVB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4DABB" w14:textId="33B65F91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814C5" w14:textId="52D00982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hAnsi="Arial" w:cs="Arial"/>
                <w:color w:val="000000"/>
                <w:sz w:val="22"/>
                <w:szCs w:val="22"/>
              </w:rPr>
              <w:t>7.0%</w:t>
            </w:r>
          </w:p>
        </w:tc>
      </w:tr>
      <w:tr w:rsidR="001D692A" w:rsidRPr="00F06280" w14:paraId="40D64307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9C9BC" w14:textId="3C8DBF49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IVC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CEF43" w14:textId="115B767A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BF80" w14:textId="12099ABE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hAnsi="Arial" w:cs="Arial"/>
                <w:color w:val="000000"/>
                <w:sz w:val="22"/>
                <w:szCs w:val="22"/>
              </w:rPr>
              <w:t>4.1%</w:t>
            </w:r>
          </w:p>
        </w:tc>
      </w:tr>
      <w:tr w:rsidR="001D692A" w:rsidRPr="00F06280" w14:paraId="5266A728" w14:textId="77777777" w:rsidTr="00DD241F">
        <w:trPr>
          <w:trHeight w:val="172"/>
          <w:jc w:val="center"/>
        </w:trPr>
        <w:tc>
          <w:tcPr>
            <w:tcW w:w="2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3E41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Unknown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0087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2EBC" w14:textId="77777777" w:rsidR="001D692A" w:rsidRPr="00F06280" w:rsidRDefault="001D692A" w:rsidP="001D692A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2.3%</w:t>
            </w:r>
          </w:p>
        </w:tc>
      </w:tr>
    </w:tbl>
    <w:p w14:paraId="47278099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517D49F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8580" w:type="dxa"/>
        <w:jc w:val="center"/>
        <w:tblLook w:val="04A0" w:firstRow="1" w:lastRow="0" w:firstColumn="1" w:lastColumn="0" w:noHBand="0" w:noVBand="1"/>
      </w:tblPr>
      <w:tblGrid>
        <w:gridCol w:w="6660"/>
        <w:gridCol w:w="960"/>
        <w:gridCol w:w="960"/>
      </w:tblGrid>
      <w:tr w:rsidR="001D692A" w:rsidRPr="00F06280" w14:paraId="3434AC6B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B8782" w14:textId="1926D485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Initial Treatment Received – Summary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6CF4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A79B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06FA54A0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46C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Best supportive 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470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54A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4.0%</w:t>
            </w:r>
          </w:p>
        </w:tc>
      </w:tr>
      <w:tr w:rsidR="001D692A" w:rsidRPr="00F06280" w14:paraId="153E509B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3C51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Definitive cetuximab +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01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572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1.7%</w:t>
            </w:r>
          </w:p>
        </w:tc>
      </w:tr>
      <w:tr w:rsidR="001D692A" w:rsidRPr="00F06280" w14:paraId="18955D0C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1132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Definitive chemoradiotherapy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583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566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15.2%</w:t>
            </w:r>
          </w:p>
        </w:tc>
      </w:tr>
      <w:tr w:rsidR="001D692A" w:rsidRPr="00F06280" w14:paraId="704FF8FA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435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Treatment or referred elsewhere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34D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88E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1.5%</w:t>
            </w:r>
          </w:p>
        </w:tc>
      </w:tr>
      <w:tr w:rsidR="001D692A" w:rsidRPr="00F06280" w14:paraId="030FB55C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757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Definitive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771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F99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17.2%</w:t>
            </w:r>
          </w:p>
        </w:tc>
      </w:tr>
      <w:tr w:rsidR="001D692A" w:rsidRPr="00F06280" w14:paraId="721408C9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3C2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Died before starting palliative treatment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553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87F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642466A7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032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cetuximab +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AE7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76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33BBA264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0582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chemoradiotherapy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3B3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C76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12.4%</w:t>
            </w:r>
          </w:p>
        </w:tc>
      </w:tr>
      <w:tr w:rsidR="001D692A" w:rsidRPr="00F06280" w14:paraId="02143B77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9B1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definitive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77A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625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0.9%</w:t>
            </w:r>
          </w:p>
        </w:tc>
      </w:tr>
      <w:tr w:rsidR="001D692A" w:rsidRPr="00F06280" w14:paraId="6DBE8ED6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081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palliative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301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80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0.4%</w:t>
            </w:r>
          </w:p>
        </w:tc>
      </w:tr>
      <w:tr w:rsidR="001D692A" w:rsidRPr="00F06280" w14:paraId="31F3EE95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96B6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surgery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9E6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D0E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6DD5E5F7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9A9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+ surgery + post-operative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E2E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AE5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  <w:tr w:rsidR="001D692A" w:rsidRPr="00F06280" w14:paraId="2C40664F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34E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Induction chemotherapy then 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Cyberknife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869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6F6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0.0%</w:t>
            </w:r>
          </w:p>
        </w:tc>
      </w:tr>
      <w:tr w:rsidR="001D692A" w:rsidRPr="00F06280" w14:paraId="74D4B4E7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BEC3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chemotherapy then died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256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46E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7912C468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F4E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Palliative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47C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2D5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15.0%</w:t>
            </w:r>
          </w:p>
        </w:tc>
      </w:tr>
      <w:tr w:rsidR="001D692A" w:rsidRPr="00F06280" w14:paraId="3316C8A3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C24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Palliative SACT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878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94F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2.1%</w:t>
            </w:r>
          </w:p>
        </w:tc>
      </w:tr>
      <w:tr w:rsidR="001D692A" w:rsidRPr="00F06280" w14:paraId="2A6FF000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F26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Surgery alone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7F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31F1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5.5%</w:t>
            </w:r>
          </w:p>
        </w:tc>
      </w:tr>
      <w:tr w:rsidR="001D692A" w:rsidRPr="00F06280" w14:paraId="710DD14B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F6C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Surgery + post-operative chemoradiotherapy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2FA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F17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5.8%</w:t>
            </w:r>
          </w:p>
        </w:tc>
      </w:tr>
      <w:tr w:rsidR="001D692A" w:rsidRPr="00F06280" w14:paraId="71EECD05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28A7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Surgery + post-operative radiotherapy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52A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BAA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17.2%</w:t>
            </w:r>
          </w:p>
        </w:tc>
      </w:tr>
      <w:tr w:rsidR="001D692A" w:rsidRPr="00F06280" w14:paraId="78DA123A" w14:textId="77777777" w:rsidTr="00DD241F">
        <w:trPr>
          <w:trHeight w:val="288"/>
          <w:jc w:val="center"/>
        </w:trPr>
        <w:tc>
          <w:tcPr>
            <w:tcW w:w="6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1AA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Surveillance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1B0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3CE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</w:tbl>
    <w:p w14:paraId="60FA30A2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427"/>
        <w:gridCol w:w="960"/>
        <w:gridCol w:w="960"/>
      </w:tblGrid>
      <w:tr w:rsidR="001D692A" w:rsidRPr="00F06280" w14:paraId="6C4CB6A6" w14:textId="77777777" w:rsidTr="00DD241F">
        <w:trPr>
          <w:trHeight w:val="14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8908A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HPV Status for oropharynx 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E83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0110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5F2A5B60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79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Negative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1EE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2CE0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21.5%</w:t>
            </w:r>
          </w:p>
        </w:tc>
      </w:tr>
      <w:tr w:rsidR="001D692A" w:rsidRPr="00F06280" w14:paraId="7497A72B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4F1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D75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B7B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62.0%</w:t>
            </w:r>
          </w:p>
        </w:tc>
      </w:tr>
      <w:tr w:rsidR="001D692A" w:rsidRPr="00F06280" w14:paraId="4DDD6F1B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05BE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443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6F2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16.5%</w:t>
            </w:r>
          </w:p>
        </w:tc>
      </w:tr>
    </w:tbl>
    <w:p w14:paraId="42FC3846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6107AA9F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580" w:type="dxa"/>
        <w:jc w:val="center"/>
        <w:tblLook w:val="04A0" w:firstRow="1" w:lastRow="0" w:firstColumn="1" w:lastColumn="0" w:noHBand="0" w:noVBand="1"/>
      </w:tblPr>
      <w:tblGrid>
        <w:gridCol w:w="1660"/>
        <w:gridCol w:w="960"/>
        <w:gridCol w:w="960"/>
      </w:tblGrid>
      <w:tr w:rsidR="001D692A" w:rsidRPr="00F06280" w14:paraId="574DE006" w14:textId="77777777" w:rsidTr="00DD241F">
        <w:trPr>
          <w:trHeight w:val="864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83C1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Induction chemo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75D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2374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1BA5D243" w14:textId="77777777" w:rsidTr="00DD241F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1993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  <w:commentRangeStart w:id="0"/>
            <w:commentRangeEnd w:id="0"/>
            <w:r w:rsidRPr="00F06280">
              <w:rPr>
                <w:rStyle w:val="CommentReference"/>
                <w:rFonts w:ascii="Arial" w:hAnsi="Arial" w:cs="Arial"/>
              </w:rPr>
              <w:commentReference w:id="0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FC9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CF3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85.3%</w:t>
            </w:r>
          </w:p>
        </w:tc>
      </w:tr>
      <w:tr w:rsidR="001D692A" w:rsidRPr="00F06280" w14:paraId="6588416D" w14:textId="77777777" w:rsidTr="00DD241F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1C0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CBAE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AB7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14.6%</w:t>
            </w:r>
          </w:p>
        </w:tc>
      </w:tr>
      <w:tr w:rsidR="001D692A" w:rsidRPr="00F06280" w14:paraId="71E2B1C9" w14:textId="77777777" w:rsidTr="00DD241F">
        <w:trPr>
          <w:trHeight w:val="288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CF5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Elsewhere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E3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455C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0.1%</w:t>
            </w:r>
          </w:p>
        </w:tc>
      </w:tr>
    </w:tbl>
    <w:p w14:paraId="20CB644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35D2E62A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040" w:type="dxa"/>
        <w:jc w:val="center"/>
        <w:tblLook w:val="04A0" w:firstRow="1" w:lastRow="0" w:firstColumn="1" w:lastColumn="0" w:noHBand="0" w:noVBand="1"/>
      </w:tblPr>
      <w:tblGrid>
        <w:gridCol w:w="1561"/>
        <w:gridCol w:w="960"/>
        <w:gridCol w:w="960"/>
      </w:tblGrid>
      <w:tr w:rsidR="001D692A" w:rsidRPr="00F06280" w14:paraId="313304EF" w14:textId="77777777" w:rsidTr="00DD241F">
        <w:trPr>
          <w:trHeight w:val="864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4A216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Concomitant chemo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151C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BB65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  <w:bookmarkStart w:id="1" w:name="_GoBack"/>
        <w:bookmarkEnd w:id="1"/>
      </w:tr>
      <w:tr w:rsidR="001D692A" w:rsidRPr="00F06280" w14:paraId="0A40234D" w14:textId="77777777" w:rsidTr="00DD241F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0664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DB5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DC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63.6%</w:t>
            </w:r>
          </w:p>
        </w:tc>
      </w:tr>
      <w:tr w:rsidR="001D692A" w:rsidRPr="00F06280" w14:paraId="0FD823A3" w14:textId="77777777" w:rsidTr="00DD241F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09CD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EC9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450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35.5%</w:t>
            </w:r>
          </w:p>
        </w:tc>
      </w:tr>
      <w:tr w:rsidR="001D692A" w:rsidRPr="00F06280" w14:paraId="7DB81ACB" w14:textId="77777777" w:rsidTr="00DD241F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E9B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Elsewhere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33C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439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0.8%</w:t>
            </w:r>
          </w:p>
        </w:tc>
      </w:tr>
    </w:tbl>
    <w:p w14:paraId="1AE8C706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6F27EC98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3380" w:type="dxa"/>
        <w:jc w:val="center"/>
        <w:tblLook w:val="04A0" w:firstRow="1" w:lastRow="0" w:firstColumn="1" w:lastColumn="0" w:noHBand="0" w:noVBand="1"/>
      </w:tblPr>
      <w:tblGrid>
        <w:gridCol w:w="1769"/>
        <w:gridCol w:w="960"/>
        <w:gridCol w:w="960"/>
      </w:tblGrid>
      <w:tr w:rsidR="001D692A" w:rsidRPr="00F06280" w14:paraId="547EC0F7" w14:textId="77777777" w:rsidTr="00DD241F">
        <w:trPr>
          <w:trHeight w:val="864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C84FE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Initial concomitant drug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531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285F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6BEE78A6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B89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CARBOPLATIN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D0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610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16.0%</w:t>
            </w:r>
          </w:p>
        </w:tc>
      </w:tr>
      <w:tr w:rsidR="001D692A" w:rsidRPr="00F06280" w14:paraId="5239019F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651A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CETUXIMAB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66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034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5.4%</w:t>
            </w:r>
          </w:p>
        </w:tc>
      </w:tr>
      <w:tr w:rsidR="001D692A" w:rsidRPr="00F06280" w14:paraId="34B41ADC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1A42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Cis/</w:t>
            </w:r>
            <w:proofErr w:type="spellStart"/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etop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4C96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0503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0.2%</w:t>
            </w:r>
          </w:p>
        </w:tc>
      </w:tr>
      <w:tr w:rsidR="001D692A" w:rsidRPr="00F06280" w14:paraId="146901E1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2A6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CISPLATIN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CD3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E8EF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76.7%</w:t>
            </w:r>
          </w:p>
        </w:tc>
      </w:tr>
      <w:tr w:rsidR="001D692A" w:rsidRPr="00F06280" w14:paraId="53F3C7A4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D22F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Olaparib trial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0674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5E8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0.3%</w:t>
            </w:r>
          </w:p>
        </w:tc>
      </w:tr>
      <w:tr w:rsidR="001D692A" w:rsidRPr="00F06280" w14:paraId="195B69B1" w14:textId="77777777" w:rsidTr="00DD241F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C8AD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Unknown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767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1A2A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1.3%</w:t>
            </w:r>
          </w:p>
        </w:tc>
      </w:tr>
    </w:tbl>
    <w:p w14:paraId="62F27A20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0B43FAC4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4921" w:type="dxa"/>
        <w:jc w:val="center"/>
        <w:tblLook w:val="04A0" w:firstRow="1" w:lastRow="0" w:firstColumn="1" w:lastColumn="0" w:noHBand="0" w:noVBand="1"/>
      </w:tblPr>
      <w:tblGrid>
        <w:gridCol w:w="2595"/>
        <w:gridCol w:w="1163"/>
        <w:gridCol w:w="1163"/>
      </w:tblGrid>
      <w:tr w:rsidR="001D692A" w:rsidRPr="00F06280" w14:paraId="21673C17" w14:textId="77777777" w:rsidTr="00D20C6F">
        <w:trPr>
          <w:trHeight w:val="936"/>
          <w:jc w:val="center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7DC36" w14:textId="7777777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HNC RT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E77F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1D9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7DEC4D5D" w14:textId="77777777" w:rsidTr="00D20C6F">
        <w:trPr>
          <w:trHeight w:val="187"/>
          <w:jc w:val="center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F20F" w14:textId="76843C37" w:rsidR="001D692A" w:rsidRPr="00F06280" w:rsidRDefault="00D20C6F" w:rsidP="00D20C6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E9AB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288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EBC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9.9%</w:t>
            </w:r>
          </w:p>
        </w:tc>
      </w:tr>
      <w:tr w:rsidR="001D692A" w:rsidRPr="00F06280" w14:paraId="60C15F9C" w14:textId="77777777" w:rsidTr="00D20C6F">
        <w:trPr>
          <w:trHeight w:val="187"/>
          <w:jc w:val="center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F6C6" w14:textId="2C87414A" w:rsidR="001D692A" w:rsidRPr="00F06280" w:rsidRDefault="00D20C6F" w:rsidP="00D20C6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Yes (at GSTT since 2010)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EBDD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2557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405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88.3%</w:t>
            </w:r>
          </w:p>
        </w:tc>
      </w:tr>
      <w:tr w:rsidR="001D692A" w:rsidRPr="00F06280" w14:paraId="7508AA25" w14:textId="77777777" w:rsidTr="00D20C6F">
        <w:trPr>
          <w:trHeight w:val="187"/>
          <w:jc w:val="center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D63C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Elsewhere or historic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B19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FA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1.7%</w:t>
            </w:r>
          </w:p>
        </w:tc>
      </w:tr>
    </w:tbl>
    <w:p w14:paraId="68743B49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p w14:paraId="4E134473" w14:textId="77777777" w:rsidR="001D692A" w:rsidRPr="00F06280" w:rsidRDefault="001D692A" w:rsidP="001D692A">
      <w:pPr>
        <w:rPr>
          <w:rFonts w:ascii="Arial" w:eastAsia="Times New Roman" w:hAnsi="Arial" w:cs="Arial"/>
          <w:kern w:val="0"/>
          <w14:ligatures w14:val="none"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97"/>
        <w:gridCol w:w="960"/>
        <w:gridCol w:w="960"/>
      </w:tblGrid>
      <w:tr w:rsidR="001D692A" w:rsidRPr="00F06280" w14:paraId="6896A96B" w14:textId="77777777" w:rsidTr="00DD241F">
        <w:trPr>
          <w:trHeight w:val="14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BCF4" w14:textId="5780A217" w:rsidR="001D692A" w:rsidRPr="00F06280" w:rsidRDefault="001D692A" w:rsidP="00DD241F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HNC RT Course 1 Intent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B9EE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9868" w14:textId="77777777" w:rsidR="001D692A" w:rsidRPr="00F06280" w:rsidRDefault="001D692A" w:rsidP="00DD241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%</w:t>
            </w:r>
          </w:p>
        </w:tc>
      </w:tr>
      <w:tr w:rsidR="001D692A" w:rsidRPr="00F06280" w14:paraId="6B3B313B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4D54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Radical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7917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3EA5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81.5%</w:t>
            </w:r>
          </w:p>
        </w:tc>
      </w:tr>
      <w:tr w:rsidR="001D692A" w:rsidRPr="00F06280" w14:paraId="58E18F5D" w14:textId="77777777" w:rsidTr="00DD241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6D9" w14:textId="77777777" w:rsidR="001D692A" w:rsidRPr="00F06280" w:rsidRDefault="001D692A" w:rsidP="00DD241F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Palliative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EAC2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EBD8" w14:textId="77777777" w:rsidR="001D692A" w:rsidRPr="00F06280" w:rsidRDefault="001D692A" w:rsidP="00DD241F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F0628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18.5%</w:t>
            </w:r>
          </w:p>
        </w:tc>
      </w:tr>
    </w:tbl>
    <w:p w14:paraId="1FF10D11" w14:textId="77777777" w:rsidR="001F1DB7" w:rsidRPr="00F06280" w:rsidRDefault="001F1DB7">
      <w:pPr>
        <w:rPr>
          <w:rFonts w:ascii="Arial" w:hAnsi="Arial" w:cs="Arial"/>
        </w:rPr>
      </w:pPr>
    </w:p>
    <w:sectPr w:rsidR="001F1DB7" w:rsidRPr="00F0628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erreroUrbano Teresa" w:date="2024-11-08T13:59:00Z" w:initials="GT">
    <w:p w14:paraId="2F28723B" w14:textId="77777777" w:rsidR="001D692A" w:rsidRDefault="001D692A" w:rsidP="001D692A">
      <w:pPr>
        <w:pStyle w:val="CommentText"/>
      </w:pPr>
      <w:r>
        <w:rPr>
          <w:rStyle w:val="CommentReference"/>
        </w:rPr>
        <w:annotationRef/>
      </w:r>
      <w:r>
        <w:t>Can you change the 0 to no and 1 to yes</w:t>
      </w:r>
    </w:p>
    <w:p w14:paraId="3DB318CD" w14:textId="77777777" w:rsidR="001D692A" w:rsidRDefault="001D692A" w:rsidP="001D692A">
      <w:pPr>
        <w:pStyle w:val="CommentText"/>
      </w:pPr>
      <w:r>
        <w:t>Or do a sentence saying 0 denotes no and 1 denotes yes; I now it is obvious but…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B318C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B318CD" w16cid:durableId="2AD897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DA6C" w14:textId="77777777" w:rsidR="00F06280" w:rsidRDefault="00F06280" w:rsidP="00F06280">
      <w:r>
        <w:separator/>
      </w:r>
    </w:p>
  </w:endnote>
  <w:endnote w:type="continuationSeparator" w:id="0">
    <w:p w14:paraId="3F739CFB" w14:textId="77777777" w:rsidR="00F06280" w:rsidRDefault="00F06280" w:rsidP="00F0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margin" w:tblpXSpec="center" w:tblpY="336"/>
      <w:tblW w:w="1000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08"/>
      <w:gridCol w:w="5724"/>
      <w:gridCol w:w="2376"/>
    </w:tblGrid>
    <w:tr w:rsidR="00F06280" w:rsidRPr="003C0F47" w14:paraId="5BAE87EA" w14:textId="77777777" w:rsidTr="00D563F8">
      <w:trPr>
        <w:trHeight w:val="434"/>
      </w:trPr>
      <w:tc>
        <w:tcPr>
          <w:tcW w:w="1908" w:type="dxa"/>
          <w:tcBorders>
            <w:top w:val="single" w:sz="6" w:space="0" w:color="auto"/>
          </w:tcBorders>
          <w:vAlign w:val="center"/>
        </w:tcPr>
        <w:p w14:paraId="69127105" w14:textId="77777777" w:rsidR="00F06280" w:rsidRPr="003C0F47" w:rsidRDefault="00F06280" w:rsidP="00F06280">
          <w:pPr>
            <w:tabs>
              <w:tab w:val="right" w:pos="3263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Author: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Tom Young</w:t>
          </w: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ab/>
          </w:r>
        </w:p>
      </w:tc>
      <w:tc>
        <w:tcPr>
          <w:tcW w:w="5724" w:type="dxa"/>
          <w:tcBorders>
            <w:top w:val="single" w:sz="6" w:space="0" w:color="auto"/>
          </w:tcBorders>
          <w:vAlign w:val="center"/>
        </w:tcPr>
        <w:p w14:paraId="0386BC9D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Authorised by: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Teresa Guerrero-Urbano</w:t>
          </w:r>
        </w:p>
      </w:tc>
      <w:tc>
        <w:tcPr>
          <w:tcW w:w="2376" w:type="dxa"/>
          <w:tcBorders>
            <w:top w:val="single" w:sz="6" w:space="0" w:color="auto"/>
          </w:tcBorders>
          <w:vAlign w:val="center"/>
        </w:tcPr>
        <w:p w14:paraId="62FE9532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Issued by: XRAP</w:t>
          </w:r>
        </w:p>
      </w:tc>
    </w:tr>
    <w:tr w:rsidR="00F06280" w:rsidRPr="003C0F47" w14:paraId="0C1BE9F3" w14:textId="77777777" w:rsidTr="00D563F8">
      <w:trPr>
        <w:trHeight w:val="434"/>
      </w:trPr>
      <w:tc>
        <w:tcPr>
          <w:tcW w:w="1908" w:type="dxa"/>
        </w:tcPr>
        <w:p w14:paraId="51A0F34C" w14:textId="77777777" w:rsidR="00F06280" w:rsidRPr="003C0F47" w:rsidRDefault="00F06280" w:rsidP="00F06280">
          <w:pPr>
            <w:tabs>
              <w:tab w:val="right" w:pos="4122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color w:val="3366FF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Page 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begin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instrText xml:space="preserve"> PAGE </w:instrTex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separate"/>
          </w:r>
          <w:r w:rsidRPr="003C0F47">
            <w:rPr>
              <w:rFonts w:ascii="Arial" w:eastAsia="Times New Roman" w:hAnsi="Arial" w:cs="Times New Roman"/>
              <w:noProof/>
              <w:kern w:val="0"/>
              <w:sz w:val="16"/>
              <w:szCs w:val="16"/>
              <w14:ligatures w14:val="none"/>
            </w:rPr>
            <w:t>1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end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t xml:space="preserve"> of 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begin"/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instrText xml:space="preserve"> NUMPAGES </w:instrTex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separate"/>
          </w:r>
          <w:r w:rsidRPr="003C0F47">
            <w:rPr>
              <w:rFonts w:ascii="Arial" w:eastAsia="Times New Roman" w:hAnsi="Arial" w:cs="Times New Roman"/>
              <w:noProof/>
              <w:kern w:val="0"/>
              <w:sz w:val="16"/>
              <w:szCs w:val="16"/>
              <w14:ligatures w14:val="none"/>
            </w:rPr>
            <w:t>3</w:t>
          </w:r>
          <w:r w:rsidRPr="003C0F47">
            <w:rPr>
              <w:rFonts w:ascii="Arial" w:eastAsia="Times New Roman" w:hAnsi="Arial" w:cs="Times New Roman"/>
              <w:kern w:val="0"/>
              <w:sz w:val="16"/>
              <w:szCs w:val="16"/>
              <w14:ligatures w14:val="none"/>
            </w:rPr>
            <w:fldChar w:fldCharType="end"/>
          </w:r>
          <w:r w:rsidRPr="003C0F47">
            <w:rPr>
              <w:rFonts w:ascii="Arial" w:eastAsia="Times New Roman" w:hAnsi="Arial" w:cs="Arial"/>
              <w:color w:val="3366FF"/>
              <w:kern w:val="0"/>
              <w:sz w:val="16"/>
              <w:szCs w:val="16"/>
              <w14:ligatures w14:val="none"/>
            </w:rPr>
            <w:tab/>
          </w:r>
        </w:p>
      </w:tc>
      <w:tc>
        <w:tcPr>
          <w:tcW w:w="5724" w:type="dxa"/>
        </w:tcPr>
        <w:p w14:paraId="26A29BE7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eastAsia="Times New Roman" w:hAnsi="Arial" w:cs="Arial"/>
              <w:b/>
              <w:color w:val="FF896D"/>
              <w:kern w:val="0"/>
              <w:sz w:val="22"/>
              <w:szCs w:val="22"/>
              <w14:ligatures w14:val="none"/>
            </w:rPr>
          </w:pPr>
        </w:p>
      </w:tc>
      <w:tc>
        <w:tcPr>
          <w:tcW w:w="2376" w:type="dxa"/>
        </w:tcPr>
        <w:p w14:paraId="4743B8F8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Issue date: 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02/12/2024</w:t>
          </w:r>
          <w:r w:rsidRPr="003C0F47"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 </w:t>
          </w:r>
        </w:p>
      </w:tc>
    </w:tr>
  </w:tbl>
  <w:p w14:paraId="54196B34" w14:textId="77777777" w:rsidR="00F06280" w:rsidRDefault="00F06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1880A" w14:textId="77777777" w:rsidR="00F06280" w:rsidRDefault="00F06280" w:rsidP="00F06280">
      <w:r>
        <w:separator/>
      </w:r>
    </w:p>
  </w:footnote>
  <w:footnote w:type="continuationSeparator" w:id="0">
    <w:p w14:paraId="6B3716DE" w14:textId="77777777" w:rsidR="00F06280" w:rsidRDefault="00F06280" w:rsidP="00F0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74" w:type="dxa"/>
      <w:tblBorders>
        <w:bottom w:val="single" w:sz="6" w:space="0" w:color="auto"/>
      </w:tblBorders>
      <w:tblLook w:val="01E0" w:firstRow="1" w:lastRow="1" w:firstColumn="1" w:lastColumn="1" w:noHBand="0" w:noVBand="0"/>
    </w:tblPr>
    <w:tblGrid>
      <w:gridCol w:w="1323"/>
      <w:gridCol w:w="9051"/>
    </w:tblGrid>
    <w:tr w:rsidR="00F06280" w:rsidRPr="003C0F47" w14:paraId="450268C9" w14:textId="77777777" w:rsidTr="00D563F8">
      <w:trPr>
        <w:trHeight w:val="129"/>
      </w:trPr>
      <w:tc>
        <w:tcPr>
          <w:tcW w:w="1323" w:type="dxa"/>
          <w:tcBorders>
            <w:bottom w:val="single" w:sz="6" w:space="0" w:color="auto"/>
          </w:tcBorders>
        </w:tcPr>
        <w:p w14:paraId="182F181F" w14:textId="38D40815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RT-</w:t>
          </w:r>
          <w:proofErr w:type="spellStart"/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HaND</w:t>
          </w:r>
          <w:proofErr w:type="spellEnd"/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 xml:space="preserve"> 015</w:t>
          </w: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d</w:t>
          </w:r>
        </w:p>
        <w:p w14:paraId="61BD28F0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eastAsia="Times New Roman" w:hAnsi="Arial" w:cs="Arial"/>
              <w:kern w:val="0"/>
              <w:sz w:val="22"/>
              <w:szCs w:val="22"/>
              <w14:ligatures w14:val="none"/>
            </w:rPr>
          </w:pPr>
          <w:r>
            <w:rPr>
              <w:rFonts w:ascii="Arial" w:eastAsia="Times New Roman" w:hAnsi="Arial" w:cs="Arial"/>
              <w:kern w:val="0"/>
              <w:sz w:val="16"/>
              <w:szCs w:val="16"/>
              <w14:ligatures w14:val="none"/>
            </w:rPr>
            <w:t>Version 1.0</w:t>
          </w:r>
        </w:p>
      </w:tc>
      <w:tc>
        <w:tcPr>
          <w:tcW w:w="9051" w:type="dxa"/>
          <w:tcBorders>
            <w:bottom w:val="single" w:sz="6" w:space="0" w:color="auto"/>
          </w:tcBorders>
          <w:vAlign w:val="center"/>
        </w:tcPr>
        <w:p w14:paraId="30D86A90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Times New Roman" w:eastAsia="Times New Roman" w:hAnsi="Times New Roman" w:cs="Times New Roman"/>
              <w:kern w:val="0"/>
              <w:sz w:val="20"/>
              <w:szCs w:val="20"/>
              <w14:ligatures w14:val="none"/>
            </w:rPr>
          </w:pPr>
          <w:r w:rsidRPr="003C0F47">
            <w:rPr>
              <w:rFonts w:ascii="Times New Roman" w:eastAsia="Times New Roman" w:hAnsi="Times New Roman" w:cs="Times New Roman"/>
              <w:noProof/>
              <w:kern w:val="0"/>
              <w:sz w:val="20"/>
              <w:szCs w:val="20"/>
              <w14:ligatures w14:val="none"/>
            </w:rPr>
            <w:drawing>
              <wp:inline distT="0" distB="0" distL="0" distR="0" wp14:anchorId="087AC043" wp14:editId="682E8AA0">
                <wp:extent cx="1748155" cy="424180"/>
                <wp:effectExtent l="0" t="0" r="444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815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7CD4F3" w14:textId="77777777" w:rsidR="00F06280" w:rsidRPr="003C0F47" w:rsidRDefault="00F06280" w:rsidP="00F06280">
          <w:pPr>
            <w:tabs>
              <w:tab w:val="center" w:pos="4320"/>
              <w:tab w:val="right" w:pos="8640"/>
            </w:tabs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ascii="Arial" w:eastAsia="Times New Roman" w:hAnsi="Arial" w:cs="Arial"/>
              <w:kern w:val="0"/>
              <w:sz w:val="22"/>
              <w:szCs w:val="22"/>
              <w14:ligatures w14:val="none"/>
            </w:rPr>
          </w:pPr>
        </w:p>
      </w:tc>
    </w:tr>
  </w:tbl>
  <w:p w14:paraId="462D4745" w14:textId="77777777" w:rsidR="00F06280" w:rsidRDefault="00F0628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erreroUrbano Teresa">
    <w15:presenceInfo w15:providerId="AD" w15:userId="S-1-5-21-54938807-603345021-1162870789-61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2A"/>
    <w:rsid w:val="000646EC"/>
    <w:rsid w:val="001D692A"/>
    <w:rsid w:val="001F1DB7"/>
    <w:rsid w:val="002E2564"/>
    <w:rsid w:val="003B2A67"/>
    <w:rsid w:val="003B4643"/>
    <w:rsid w:val="005C16E4"/>
    <w:rsid w:val="006A7FA1"/>
    <w:rsid w:val="006E1357"/>
    <w:rsid w:val="009A56E7"/>
    <w:rsid w:val="00BC6DE1"/>
    <w:rsid w:val="00D20C6F"/>
    <w:rsid w:val="00EB4927"/>
    <w:rsid w:val="00F06280"/>
    <w:rsid w:val="00FA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94B"/>
  <w15:chartTrackingRefBased/>
  <w15:docId w15:val="{B231A2BB-313F-8E4C-96B6-D867FD4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92A"/>
  </w:style>
  <w:style w:type="paragraph" w:styleId="Heading1">
    <w:name w:val="heading 1"/>
    <w:basedOn w:val="Normal"/>
    <w:next w:val="Normal"/>
    <w:link w:val="Heading1Char"/>
    <w:uiPriority w:val="9"/>
    <w:qFormat/>
    <w:rsid w:val="001D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2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D6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9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92A"/>
    <w:rPr>
      <w:sz w:val="20"/>
      <w:szCs w:val="20"/>
    </w:rPr>
  </w:style>
  <w:style w:type="paragraph" w:styleId="NoSpacing">
    <w:name w:val="No Spacing"/>
    <w:uiPriority w:val="1"/>
    <w:qFormat/>
    <w:rsid w:val="00EB4927"/>
  </w:style>
  <w:style w:type="paragraph" w:styleId="BalloonText">
    <w:name w:val="Balloon Text"/>
    <w:basedOn w:val="Normal"/>
    <w:link w:val="BalloonTextChar"/>
    <w:uiPriority w:val="99"/>
    <w:semiHidden/>
    <w:unhideWhenUsed/>
    <w:rsid w:val="00F062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2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280"/>
  </w:style>
  <w:style w:type="paragraph" w:styleId="Footer">
    <w:name w:val="footer"/>
    <w:basedOn w:val="Normal"/>
    <w:link w:val="FooterChar"/>
    <w:uiPriority w:val="99"/>
    <w:unhideWhenUsed/>
    <w:rsid w:val="00F062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Young</dc:creator>
  <cp:keywords/>
  <dc:description/>
  <cp:lastModifiedBy>Butterworth Victoria</cp:lastModifiedBy>
  <cp:revision>2</cp:revision>
  <dcterms:created xsi:type="dcterms:W3CDTF">2024-11-12T21:37:00Z</dcterms:created>
  <dcterms:modified xsi:type="dcterms:W3CDTF">2024-11-12T21:37:00Z</dcterms:modified>
</cp:coreProperties>
</file>