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i/>
          <w:iCs/>
          <w:color w:val="666666"/>
          <w:sz w:val="22"/>
          <w:szCs w:val="22"/>
        </w:rPr>
        <w:t xml:space="preserve">Project Design Phase</w:t>
      </w:r>
    </w:p>
    <w:p>
      <w:pPr>
        <w:spacing w:after="250"/>
      </w:pPr>
      <w:r>
        <w:rPr>
          <w:b/>
          <w:bCs/>
          <w:color w:val="1F3864"/>
          <w:sz w:val="34"/>
          <w:szCs w:val="34"/>
        </w:rPr>
        <w:t xml:space="preserve">Proposed Solution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Date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11 July 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Team ID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Project Name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Registry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Maximum Marks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rPr>
          <w:b/>
          <w:bCs/>
          <w:color w:val="1F3864"/>
        </w:rPr>
        <w:t xml:space="preserve">Proposed Solution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9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1.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Problem Statement (Problem to be solved)</w:t>
            </w:r>
          </w:p>
        </w:tc>
        <w:tc>
          <w:tcPr>
            <w:tcW w:type="dxa" w:w="5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support communication is scattered across email, phone, and manual notes, giving customers no visibility into their complaint status and giving agents no centralized customer record.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Idea / Solution description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 full-stack MERN web application — Customer Registry — where customers register, raise and track complaints/tickets, and chat with agents; agents get a dashboard to view, filter, reply to, and resolve all tickets from one place.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3.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Novelty / Uniqueness</w:t>
            </w:r>
          </w:p>
        </w:tc>
        <w:tc>
          <w:tcPr>
            <w:tcW w:type="dxa" w:w="5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Combines customer profile management with a threaded, chat-style complaint resolution flow and live dashboard statistics in a single lightweight platform, with an automatic local-storage fallback that keeps the app usable even without a live database connection.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4.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Social Impact / Customer Satisfaction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Improves transparency and response time for customers, reduces agent workload from manual tracking, and builds customer trust through visible status updates and direct communication.</w:t>
            </w:r>
          </w:p>
        </w:tc>
      </w:tr>
      <w:tr>
        <w:tc>
          <w:tcPr>
            <w:tcW w:type="dxa" w:w="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5.</w:t>
            </w:r>
          </w:p>
        </w:tc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Business Model (Revenue Model)</w:t>
            </w:r>
          </w:p>
        </w:tc>
        <w:tc>
          <w:tcPr>
            <w:tcW w:type="dxa" w:w="59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Deployable as an internal tool for any business (SaaS potential): free/self-hosted for small teams, or a subscription-based SaaS tier for larger support teams needing advanced analytics and notifications.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6.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Scalability of the Solution</w:t>
            </w:r>
          </w:p>
        </w:tc>
        <w:tc>
          <w:tcPr>
            <w:tcW w:type="dxa" w:w="5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Built on a modular Express + MongoDB architecture; new modules (notifications, analytics, multi-language, AI categorization) can be added without restructuring; MongoDB and stateless REST APIs support horizontal scaling.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2026-07-11T14:50:44.970Z</dcterms:created>
  <dcterms:modified xsi:type="dcterms:W3CDTF">2026-07-11T14:50:44.970Z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