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360"/>
        <w:jc w:val="center"/>
      </w:pPr>
      <w:r>
        <w:rPr>
          <w:rFonts w:ascii="Calibri" w:hAnsi="Calibri"/>
          <w:b/>
          <w:color w:val="A77A1B"/>
          <w:sz w:val="26"/>
        </w:rPr>
        <w:t>PROYECTO AURORA</w:t>
      </w:r>
    </w:p>
    <w:p>
      <w:pPr>
        <w:spacing w:after="280"/>
        <w:jc w:val="center"/>
      </w:pPr>
      <w:r>
        <w:rPr>
          <w:rFonts w:ascii="Calibri" w:hAnsi="Calibri"/>
          <w:b/>
          <w:color w:val="203748"/>
          <w:sz w:val="58"/>
        </w:rPr>
        <w:t>Catálogo de reglas semánticas,</w:t>
        <w:br/>
        <w:t>restricciones e inferencias</w:t>
      </w:r>
    </w:p>
    <w:p>
      <w:pPr>
        <w:spacing w:after="600"/>
        <w:jc w:val="center"/>
      </w:pPr>
      <w:r>
        <w:rPr>
          <w:rFonts w:ascii="Calibri" w:hAnsi="Calibri"/>
          <w:color w:val="5B7F95"/>
          <w:sz w:val="30"/>
        </w:rPr>
        <w:t>Integración de MARISMA y ONTO-CARMEN para la ontología AURORA</w:t>
      </w:r>
    </w:p>
    <w:p>
      <w:pPr>
        <w:spacing w:after="880"/>
        <w:jc w:val="center"/>
      </w:pPr>
      <w:r>
        <w:rPr>
          <w:rFonts w:ascii="Calibri" w:hAnsi="Calibri"/>
          <w:b/>
          <w:color w:val="5F6B73"/>
          <w:sz w:val="22"/>
        </w:rPr>
        <w:t>Documento técnico complementario al marco de preguntas de competencia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Ámbito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Tarea 1: Definición de ontología y metadatos de seguridad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Versión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13 de julio de 2026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Contenido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69 reglas de validación, inferencia, evolución, cálculo y gobernanza</w:t>
            </w:r>
          </w:p>
        </w:tc>
      </w:tr>
    </w:tbl>
    <w:p>
      <w:pPr>
        <w:spacing w:after="560"/>
      </w:pPr>
    </w:p>
    <w:p>
      <w:pPr>
        <w:jc w:val="center"/>
      </w:pPr>
      <w:r>
        <w:rPr>
          <w:rFonts w:ascii="Calibri" w:hAnsi="Calibri"/>
          <w:i/>
          <w:color w:val="5F6B73"/>
          <w:sz w:val="19"/>
        </w:rPr>
        <w:t>Resultado derivado de la memoria AURORA, los artículos de MARISMA y ONTO-CARMEN y el debate técnico del equipo sobre restricciones entre elementos.</w:t>
      </w:r>
    </w:p>
    <w:p>
      <w:pPr>
        <w:pStyle w:val="Heading1"/>
        <w:pageBreakBefore/>
      </w:pPr>
      <w:r>
        <w:t>Resumen ejecutivo</w:t>
      </w:r>
    </w:p>
    <w:p>
      <w:pPr>
        <w:jc w:val="both"/>
      </w:pPr>
      <w:r>
        <w:rPr>
          <w:rFonts w:ascii="Calibri" w:hAnsi="Calibri"/>
          <w:i w:val="0"/>
        </w:rPr>
        <w:t>El intercambio técnico del equipo identifica una necesidad distinta y complementaria a las preguntas de competencia: definir restricciones entre los elementos de MARISMA para comprobar la consistencia de la ontología y derivar conocimiento nuevo. Ejemplos de esta necesidad son validar que un porcentaje corresponde al nivel cualitativo declarado, impedir riesgos asociados a dimensiones no autorizadas por la matriz TAD, comprobar la compatibilidad entre mecanismos y niveles de seguridad, y actualizar el riesgo a partir de eventos.</w:t>
      </w:r>
    </w:p>
    <w:p>
      <w:pPr>
        <w:jc w:val="both"/>
      </w:pPr>
      <w:r>
        <w:rPr>
          <w:rFonts w:ascii="Calibri" w:hAnsi="Calibri"/>
          <w:i w:val="0"/>
        </w:rPr>
        <w:t>La conclusión es afirmativa: estas reglas forman parte del sistema ontológico, aunque no todas deban codificarse exclusivamente en OWL. OWL representa la semántica abierta y las inferencias monotónicas; SHACL valida restricciones de integridad y comparaciones condicionales; SPARQL y reglas derivan hechos o generan sugerencias; y los motores externos realizan cálculos, evolución temporal y optimización. La aportación científica reside en definir con precisión la semántica, los invariantes y la trazabilidad de esas operaciones.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4D78"/>
              </w:rPr>
              <w:t xml:space="preserve">Aportación principal. </w:t>
            </w:r>
            <w:r>
              <w:rPr>
                <w:rFonts w:ascii="Calibri" w:hAnsi="Calibri"/>
                <w:color w:val="000000"/>
              </w:rPr>
              <w:t>Se presenta un catálogo de 69 reglas agrupadas en nueve familias. Las reglas distinguen validación, inferencia, evolución, cálculo y gobernanza, y se acompañan de ejemplos formales y casos trabajados para MARISMA, ONTO-CARMEN y AURORA.</w:t>
            </w:r>
          </w:p>
        </w:tc>
      </w:tr>
    </w:tbl>
    <w:p>
      <w:pPr>
        <w:spacing w:after="20"/>
      </w:pPr>
    </w:p>
    <w:p>
      <w:pPr>
        <w:pStyle w:val="Heading1"/>
      </w:pPr>
      <w:r>
        <w:t>1. Relación con el documento de preguntas de competencia</w:t>
      </w:r>
    </w:p>
    <w:p>
      <w:pPr>
        <w:jc w:val="both"/>
      </w:pPr>
      <w:r>
        <w:rPr>
          <w:rFonts w:ascii="Calibri" w:hAnsi="Calibri"/>
          <w:i w:val="0"/>
        </w:rPr>
        <w:t>El documento anterior especifica qué cuestiones debe poder resolver AURORA. El presente documento define bajo qué condiciones las respuestas son válidas y qué hechos adicionales deben inferirse. Ambos entregables son complementarios y no deberían fusionarse durante la fase inicial: la separación mantiene estable el catálogo de preguntas y permite que las reglas evolucionen de forma independiente.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4700"/>
        <w:gridCol w:w="261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Artefacto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Función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Identificación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Preguntas de competencia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Qué conocimiento se necesita y qué debe poder contestar AURORA.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AURORA-CQ01–AURORA-CQ95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Reglas y restricciones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Qué combinaciones son válidas, qué inconsistencias existen y qué debe inferirse.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RC-EST, RC-NUM, RC-TAD, RC-RISK, RC-CTRL, RC-EVT, RC-REQ, RC-SUS y RC-COL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Casos de prueba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Cómo demostrar que preguntas y reglas funcionan con datos concretos.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Escenarios, shapes, consultas, resultados y evidencias</w:t>
            </w:r>
          </w:p>
        </w:tc>
      </w:tr>
    </w:tbl>
    <w:p>
      <w:pPr>
        <w:spacing w:after="20"/>
      </w:pPr>
    </w:p>
    <w:p>
      <w:pPr>
        <w:pStyle w:val="Heading1"/>
      </w:pPr>
      <w:r>
        <w:t>2. ¿Son estas restricciones parte de una ontología?</w:t>
      </w:r>
    </w:p>
    <w:p>
      <w:pPr>
        <w:jc w:val="both"/>
      </w:pPr>
      <w:r>
        <w:rPr>
          <w:rFonts w:ascii="Calibri" w:hAnsi="Calibri"/>
          <w:i w:val="0"/>
        </w:rPr>
        <w:t>Sí, si se entiende la solución como un sistema ontológico completo. Una ontología no se limita a un diagrama de clases: contiene axiomas sobre conceptos y relaciones, individuos, restricciones de integridad, reglas de inferencia, consultas y mecanismos de validación. Sin embargo, conviene evitar atribuir a OWL capacidades que pertenecen a otras capas.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7510"/>
      </w:tblGrid>
      <w:tr>
        <w:trPr>
          <w:cantSplit/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Capa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 adecuada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OWL 2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Jerarquías, equivalencias, disjunciones, cardinalidades, dominio/rango, propiedades inversas y clasificación.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SHACL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Restricciones de datos, rangos numéricos, unicidad, compatibilidad condicional, closed-world y mensajes de diagnóstico.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SPARQL/SWRL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Derivación de relaciones, detección de patrones, generación de reparaciones y sugerencias.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Motor MARISMA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Fórmulas de probabilidad, degradación, riesgo puro, riesgo residual y cobertura.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Motor de eventos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Ventanas temporales, frecuencia, deduplicación, caducidad y actualización de snapshots.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Optimizador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Selección multiobjetivo de controles y configuraciones sostenibles.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4D78"/>
              </w:rPr>
              <w:t xml:space="preserve">Criterio de diseño. </w:t>
            </w:r>
            <w:r>
              <w:rPr>
                <w:rFonts w:ascii="Calibri" w:hAnsi="Calibri"/>
                <w:color w:val="000000"/>
              </w:rPr>
              <w:t>La ontología debe declarar la semántica de las variables y relaciones; los motores externos pueden ejecutar los cálculos, pero sus entradas, salidas, versiones y evidencias deben quedar representadas en AURORA.</w:t>
            </w:r>
          </w:p>
        </w:tc>
      </w:tr>
    </w:tbl>
    <w:p>
      <w:pPr>
        <w:spacing w:after="20"/>
      </w:pPr>
    </w:p>
    <w:p>
      <w:pPr>
        <w:pStyle w:val="Heading1"/>
      </w:pPr>
      <w:r>
        <w:t>3. Correcciones conceptuales de alto valor</w:t>
      </w:r>
    </w:p>
    <w:p>
      <w:pPr>
        <w:pStyle w:val="Heading2"/>
      </w:pPr>
      <w:r>
        <w:t>3.1. Reificar la evaluación de riesgo</w:t>
      </w:r>
    </w:p>
    <w:p>
      <w:pPr>
        <w:jc w:val="both"/>
      </w:pPr>
      <w:r>
        <w:rPr>
          <w:rFonts w:ascii="Calibri" w:hAnsi="Calibri"/>
          <w:i w:val="0"/>
        </w:rPr>
        <w:t>Los valores de probabilidad, degradación, cobertura y riesgo no deberían residir sin contexto en Threat, Dimension o Control. Una amenaza no tiene una única probabilidad universal; una dimensión no posee una degradación intrínseca; y un control no ofrece la misma cobertura en todos los hogares. Se propone introducir RiskAssessment, ThreatObservation, DimensionImpactAssessment y ControlAssessment, todos vinculados a contexto, fecha, fuente y versión.</w:t>
      </w:r>
    </w:p>
    <w:p>
      <w:pPr>
        <w:pStyle w:val="Heading2"/>
      </w:pPr>
      <w:r>
        <w:t>3.2. Tratar TAD como una relación n-aria</w:t>
      </w:r>
    </w:p>
    <w:p>
      <w:pPr>
        <w:jc w:val="both"/>
      </w:pPr>
      <w:r>
        <w:rPr>
          <w:rFonts w:ascii="Calibri" w:hAnsi="Calibri"/>
          <w:i w:val="0"/>
        </w:rPr>
        <w:t>La combinación TypeOfAsset × TypeOfThreat × Dimension no es una simple propiedad binaria. Debe representarse como una entidad de aplicabilidad que pueda contener valores por defecto, origen en el patrón, especializaciones, vigencia y evidencia. Esta reificación permite formular la restricción solicitada por el equipo: no puede añadirse una dimensión nueva a un riesgo si la matriz no la autoriza; si un evento demuestra una relación inédita, se genera una propuesta de evolución del patrón.</w:t>
      </w:r>
    </w:p>
    <w:p>
      <w:pPr>
        <w:pStyle w:val="Heading2"/>
      </w:pPr>
      <w:r>
        <w:t>3.3. Separar probabilidad, degradación y cobertura</w:t>
      </w:r>
    </w:p>
    <w:p>
      <w:pPr>
        <w:jc w:val="both"/>
      </w:pPr>
      <w:r>
        <w:rPr>
          <w:rFonts w:ascii="Calibri" w:hAnsi="Calibri"/>
          <w:i w:val="0"/>
        </w:rPr>
        <w:t>Un evento de ocurrencia aporta evidencia sobre frecuencia o probabilidad; el daño observado aporta evidencia sobre degradación; y el bypass de un control aporta evidencia sobre cobertura. El mismo incidente puede afectar a las tres magnitudes, pero solo cuando existan evidencias diferenciadas. Esta separación evita la regla imprecisa de aumentar todas las variables en el mismo orden de magnitud.</w:t>
      </w:r>
    </w:p>
    <w:p>
      <w:pPr>
        <w:pStyle w:val="Heading2"/>
      </w:pPr>
      <w:r>
        <w:t>3.4. Versionar escalas y fórmulas</w:t>
      </w:r>
    </w:p>
    <w:p>
      <w:pPr>
        <w:jc w:val="both"/>
      </w:pPr>
      <w:r>
        <w:rPr>
          <w:rFonts w:ascii="Calibri" w:hAnsi="Calibri"/>
          <w:i w:val="0"/>
        </w:rPr>
        <w:t>Los niveles Low, Medium o High no deben ser etiquetas independientes. Deben derivarse de intervalos declarados por una ScaleProfile. Del mismo modo, todo RiskScore debe referenciar una FormulaProfile. Así, un porcentaje del 70 % puede inferirse como High en una escala concreta sin confundirlo con un riesgo de 70 puntos.</w:t>
      </w:r>
    </w:p>
    <w:p>
      <w:pPr>
        <w:pStyle w:val="Heading1"/>
      </w:pPr>
      <w:r>
        <w:t>4. Catálogo normativo de reglas</w:t>
      </w:r>
    </w:p>
    <w:p>
      <w:pPr>
        <w:jc w:val="both"/>
      </w:pPr>
      <w:r>
        <w:rPr>
          <w:rFonts w:ascii="Calibri" w:hAnsi="Calibri"/>
          <w:i w:val="0"/>
        </w:rPr>
        <w:t>Las palabras DEBE, NO DEBE y PUEDE se utilizan en sentido normativo. “Validación” identifica una inconsistencia; “Inferencia” deriva nuevo conocimiento; “Evolución” crea una nueva observación o sugerencia; “Cálculo” requiere un motor cuantitativo; y “Gobernanza” exige una decisión trazable.</w:t>
      </w:r>
    </w:p>
    <w:p>
      <w:pPr>
        <w:pStyle w:val="Heading2"/>
      </w:pPr>
      <w:r>
        <w:t>RC-EST. Integridad estructural y contextualización</w:t>
      </w:r>
    </w:p>
    <w:p>
      <w:pPr>
        <w:jc w:val="both"/>
      </w:pPr>
      <w:r>
        <w:rPr>
          <w:rFonts w:ascii="Calibri" w:hAnsi="Calibri"/>
          <w:i w:val="0"/>
        </w:rPr>
        <w:t>Estas reglas impiden que valores dinámicos se confundan con propiedades permanentes de los catálogos.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RC-EST-01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Todo activo concreto DEBE estar clasificado al menos por un TypeOfAsset.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RC-EST-02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amenaza concreta DEBE estar clasificada por un TypeOfThreat y este, cuando proceda, por una FamilyOfThreat.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SHACL/OWL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RC-EST-03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evaluación de riesgo DEBE identificar un activo, una amenaza, una dimensión, un contexto y un instante o intervalo temporal.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RC-EST-04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Todo valor de probabilidad, degradación, cobertura o riesgo DEBE indicar fuente, fecha, unidad, método y versión del cálculo.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SHACL/PROV-O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RC-EST-05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Los valores de catálogo, los valores por defecto del patrón y los valores observados en una instancia NO DEBEN representarse mediante el mismo individuo sin indicar su nivel semántico.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RC-EST-06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Una actualización dinámica NO DEBE sobrescribir el valor histórico; DEBE crear una nueva observación o snapshot enlazado con el anterior.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 Update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RC-EST-07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Si un patrón especializado modifica un valor heredado, DEBE declarar el patrón de origen, el valor sustituido y la justificación del override.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SHACL/PROV-O</w:t>
            </w:r>
          </w:p>
        </w:tc>
      </w:tr>
    </w:tbl>
    <w:p>
      <w:pPr>
        <w:spacing w:after="20"/>
      </w:pPr>
    </w:p>
    <w:p>
      <w:pPr>
        <w:pStyle w:val="Heading2"/>
      </w:pPr>
      <w:r>
        <w:t>RC-NUM. Escalas, porcentajes y niveles cualitativos</w:t>
      </w:r>
    </w:p>
    <w:p>
      <w:pPr>
        <w:jc w:val="both"/>
      </w:pPr>
      <w:r>
        <w:rPr>
          <w:rFonts w:ascii="Calibri" w:hAnsi="Calibri"/>
          <w:i w:val="0"/>
        </w:rPr>
        <w:t>Resuelven la cuestión planteada por el equipo sobre cómo relacionar un porcentaje —por ejemplo, 70 %— con un nivel cualitativo.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RC-NUM-01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Probability, Degradation, Coverage, RiskScore, Confidence y TrustScore DEBEN estar dentro de una escala declarada; si se usa porcentaje, el intervalo válido es [0,100].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RC-NUM-02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Cada escala cualitativa DEBE definir intervalos completos, mutuamente excluyentes y ordenados para VeryLow, Low, Medium, High y VeryHigh.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RC-NUM-03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El nivel cualitativo DEBE derivarse del valor numérico y de la versión de la escala; no puede asignarse de forma independiente.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SPARQL/SWRL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RC-NUM-04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Si una probabilidad del 70 % pertenece al intervalo High de la escala activa, el sistema DEBE inferir High; declarar Medium o Low constituye una inconsistencia.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RC-NUM-05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No DEBEN compararse directamente magnitudes heterogéneas. Una probabilidad del 70 % no implica que el RiskScore deba ser igual o superior a 70.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SHACL/Regla de negocio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RC-NUM-06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comparación entre valores DEBE comprobar previamente igualdad de unidad, escala, contexto temporal y versión del método.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RC-NUM-07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conversión entre valores numéricos y niveles DEBE declarar tolerancia, reglas de redondeo y tratamiento exacto de los límites.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SHACL/Configuración</w:t>
            </w:r>
          </w:p>
        </w:tc>
      </w:tr>
    </w:tbl>
    <w:p>
      <w:pPr>
        <w:spacing w:after="20"/>
      </w:pPr>
    </w:p>
    <w:p>
      <w:pPr>
        <w:pStyle w:val="Heading2"/>
      </w:pPr>
      <w:r>
        <w:t>RC-TAD. Restricciones TypeOfAsset × TypeOfThreat × Dimension</w:t>
      </w:r>
    </w:p>
    <w:p>
      <w:pPr>
        <w:jc w:val="both"/>
      </w:pPr>
      <w:r>
        <w:rPr>
          <w:rFonts w:ascii="Calibri" w:hAnsi="Calibri"/>
          <w:i w:val="0"/>
        </w:rPr>
        <w:t>Formalizan la matriz TAD de MARISMA como una relación n-aria reificada y controlan qué combinaciones son admisibles.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Cada relación TAD DEBE contener al menos un TypeOfAsset, un TypeOfThreat y una Dimension.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OWL/SHACL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No DEBEN existir dos relaciones TAD activas idénticas para la misma combinación de patrón, tipo de activo, tipo de amenaza y dimensión.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Una evaluación de riesgo solo es válida si existe una relación TAD aplicable a su TypeOfAsset, TypeOfThreat y Dimension.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No puede añadirse a un riesgo una dimensión que no figure en la matriz TAD aplicable.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Si un evento evidencia una dimensión no contemplada, el sistema DEBE generar una PatternEvolutionSuggestion; NO DEBE activar silenciosamente la nueva relación.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 CONSTRUCT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Los valores de ocurrencia y degradación incluidos en TAD se interpretan como valores por defecto del patrón, no como observaciones universales de la amenaza o la dimensión.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Modelo ontológico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Una instancia puede especializar los valores TAD si conserva el valor heredado, la justificación, la fuente y el periodo de validez.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SHACL/PROV-O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RC-TAD-08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Si una relación TAD heredada entra en conflicto con una especialización, prevalece la regla más específica únicamente cuando el override está declarado y validado.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Reglas de precedencia</w:t>
            </w:r>
          </w:p>
        </w:tc>
      </w:tr>
    </w:tbl>
    <w:p>
      <w:pPr>
        <w:spacing w:after="20"/>
      </w:pPr>
    </w:p>
    <w:p>
      <w:pPr>
        <w:pStyle w:val="Heading2"/>
      </w:pPr>
      <w:r>
        <w:t>RC-RISK. Derivación y coherencia del riesgo</w:t>
      </w:r>
    </w:p>
    <w:p>
      <w:pPr>
        <w:jc w:val="both"/>
      </w:pPr>
      <w:r>
        <w:rPr>
          <w:rFonts w:ascii="Calibri" w:hAnsi="Calibri"/>
          <w:i w:val="0"/>
        </w:rPr>
        <w:t>Estas restricciones evitan asignaciones arbitrarias y expresan propiedades monotónicas que deben cumplirse con independencia de la fórmula concreta.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Todo RiskScore DEBE indicar si representa riesgo puro/inherente o riesgo residual.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El cálculo del riesgo puro DEBE referenciar una FormulaProfile versionada y sus entradas: probabilidad, degradación/impacto y, cuando proceda, valor del activo y peso de la dimensión.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SHACL/Motor de riesgo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Manteniendo constantes las demás entradas, un aumento de probabilidad NO PUEDE reducir el riesgo puro.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riesgo/Test metamórfico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Manteniendo constantes las demás entradas, un aumento de degradación o impacto NO PUEDE reducir el riesgo puro.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riesgo/Test metamórfico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control beneficioso y correctamente implantado NO PUEDE producir un riesgo residual superior al riesgo puro, salvo que se modelen explícitamente riesgos secundarios introducidos por el control.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riesgo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Manteniendo constantes las demás entradas, un aumento de cobertura efectiva NO PUEDE incrementar el riesgo residual.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riesgo/Test metamórfico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Las coberturas de varios controles NO DEBEN sumarse linealmente salvo que la FormulaProfile declare independencia y método de agregación.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riesgo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RC-RISK-08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El nivel cualitativo de riesgo DEBE derivarse del RiskScore mediante la escala de riesgo activa y quedar invalidado si no coincide.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</w:tbl>
    <w:p>
      <w:pPr>
        <w:spacing w:after="20"/>
      </w:pPr>
    </w:p>
    <w:p>
      <w:pPr>
        <w:pStyle w:val="Heading2"/>
      </w:pPr>
      <w:r>
        <w:t>RC-CTRL. Aplicabilidad, cobertura y estado de los controles</w:t>
      </w:r>
    </w:p>
    <w:p>
      <w:pPr>
        <w:jc w:val="both"/>
      </w:pPr>
      <w:r>
        <w:rPr>
          <w:rFonts w:ascii="Calibri" w:hAnsi="Calibri"/>
          <w:i w:val="0"/>
        </w:rPr>
        <w:t>Separan el control definido en el catálogo de su implantación y cobertura reales en un hogar o sistema.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RC-CTRL-01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control solo puede declararse mitigador de una amenaza si existe una relación CxT aplicable o una especialización justificada.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RC-CTRL-02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aplicabilidad de un control DEBE comprobar capacidades del activo, conectividad, energía, dependencias y contexto operacional.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SHACL/Reglas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RC-CTRL-03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Coverage pertenece a una ControlImplementation o ControlAssessment contextualizada; NO DEBE tratarse como propiedad intrínseca e invariable del Control de catálogo.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Modelo ontológico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RC-CTRL-04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control solo cuenta para el riesgo residual si está activo, configurado, verificado y respaldado por evidencia vigente.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SHACL/Reglas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RC-CTRL-05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evento que compromete o elude un control DEBE reducir su cobertura o marcarla como incierta; no debe modificar directamente otras variables sin evidencia adicional.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 Update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RC-CTRL-06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Coverage = 100 % solo es admisible con evidencia explícita y alcance completo; la mera instalación del control no basta.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RC-CTRL-07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Si un control introduce nuevos activos, servicios cloud o dependencias, el sistema DEBE generar los riesgos secundarios correspondientes antes de recomendarlo.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 CONSTRUCT</w:t>
            </w:r>
          </w:p>
        </w:tc>
      </w:tr>
    </w:tbl>
    <w:p>
      <w:pPr>
        <w:spacing w:after="20"/>
      </w:pPr>
    </w:p>
    <w:p>
      <w:pPr>
        <w:pStyle w:val="Heading2"/>
      </w:pPr>
      <w:r>
        <w:t>RC-EVT. Eventos y evolución dinámica</w:t>
      </w:r>
    </w:p>
    <w:p>
      <w:pPr>
        <w:jc w:val="both"/>
      </w:pPr>
      <w:r>
        <w:rPr>
          <w:rFonts w:ascii="Calibri" w:hAnsi="Calibri"/>
          <w:i w:val="0"/>
        </w:rPr>
        <w:t>Concretan cómo un evento modifica MARISMA sin confundir frecuencia, daño y fallo de controles.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Todo SecurityEvent DEBE identificar fecha, fuente, confianza, amenaza, activos afectados y, cuando se conozcan, dimensiones, controles y severidad.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evidencia de que una amenaza ha ocurrido actualiza la estimación de probabilidad o frecuencia; por sí sola NO demuestra una degradación mayor.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Regla de negocio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evidencia de daño sobre una dimensión actualiza la degradación o impacto; por sí sola NO demuestra una frecuencia mayor.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Regla de negocio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evidencia de evasión, desactivación o fallo de un control actualiza su cobertura o confianza; por sí sola NO altera la probabilidad base de la amenaza.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Regla de negocio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mismo evento puede modificar varias magnitudes únicamente si contiene evidencias diferenciadas para cada modificación.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Una alerta externa genera un TemporaryRiskAdjustment con tiempo de validez, confianza y ámbito; no reemplaza permanentemente los valores del patrón.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 CONSTRUCT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Los ajustes temporales DEBEN decaer o caducar según una política explícita y regresar al valor base salvo nueva evidencia.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Evolución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temporal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RC-EVT-08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Antes de propagar el efecto de un evento se DEBE comprobar coincidencia de TypeOfAsset, TypeOfThreat, versión, contexto y dependencias.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SHACL/Reglas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RC-EVT-09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Eventos duplicados o correlacionados NO DEBEN contabilizarse como observaciones independientes sin un proceso de deduplicación.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eventos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RC-EVT-10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modificación automática que supere el umbral de gobernanza DEBE convertirse en sugerencia aprobable y conservar la decisión de aceptación o rechazo.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Gobernanza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Workflow/PROV-O</w:t>
            </w:r>
          </w:p>
        </w:tc>
      </w:tr>
    </w:tbl>
    <w:p>
      <w:pPr>
        <w:spacing w:after="20"/>
      </w:pPr>
    </w:p>
    <w:p>
      <w:pPr>
        <w:pStyle w:val="Heading2"/>
      </w:pPr>
      <w:r>
        <w:t>RC-REQ. Alineamiento con ONTO-CARMEN</w:t>
      </w:r>
    </w:p>
    <w:p>
      <w:pPr>
        <w:jc w:val="both"/>
      </w:pPr>
      <w:r>
        <w:rPr>
          <w:rFonts w:ascii="Calibri" w:hAnsi="Calibri"/>
          <w:i w:val="0"/>
        </w:rPr>
        <w:t>Vinculan requisitos, características, mecanismos de seguridad y niveles con el análisis de riesgos de MARISMA.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Todo SecurityRequirement DEBE asociar al menos un activo, una propiedad/característica, un nivel requerido y un tipo de relación.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OWL/SHACL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capacidad del mecanismo de seguridad seleccionado DEBE ser igual o superior al nivel exigido por el requisito.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Según el caso publicado en ONTO-CARMEN, AES128GCM es compatible con HighSecurityLevel pero no con VeryHighSecurityLevel; para este último debe elegirse una alternativa modelada como suficiente, como ChaCha20, o revisarse el nivel exigido.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requisito de autenticación de nivel alto DEBE incluir los mecanismos adicionales definidos por la política aplicable, por ejemplo autenticación multifactor.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SHACL/Reglas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auditGuaranteed exige un mecanismo de registro activo, protegido y con evidencia de funcionamiento.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secureCommunication exige canal, protocolo y mecanismo criptográfico compatibles con la propiedad y el nivel requeridos.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requisito no puede declararse satisfecho únicamente porque exista un control en el catálogo; debe existir una ControlImplementation aplicable y verificada.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RC-REQ-08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Si dos requisitos obligatorios son incompatibles, el sistema DEBE emitir RequirementConflict y no seleccionar silenciosamente uno de ellos.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 CONSTRUCT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RC-REQ-09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reparación propuesta DEBE identificar la causa, el cambio realizado, el requisito resultante y su efecto sobre riesgo, privacidad y sostenibilidad.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Explicación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SPARQL CONSTRUCT</w:t>
            </w:r>
          </w:p>
        </w:tc>
      </w:tr>
    </w:tbl>
    <w:p>
      <w:pPr>
        <w:spacing w:after="20"/>
      </w:pPr>
    </w:p>
    <w:p>
      <w:pPr>
        <w:pStyle w:val="Heading2"/>
      </w:pPr>
      <w:r>
        <w:t>RC-SUS. Seguridad sostenible</w:t>
      </w:r>
    </w:p>
    <w:p>
      <w:pPr>
        <w:jc w:val="both"/>
      </w:pPr>
      <w:r>
        <w:rPr>
          <w:rFonts w:ascii="Calibri" w:hAnsi="Calibri"/>
          <w:i w:val="0"/>
        </w:rPr>
        <w:t>Evitan que una configuración eficiente sea recomendada cuando incumple requisitos obligatorios.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RC-SUS-01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sostenibilidad se optimiza únicamente entre configuraciones que superan previamente el SecurityGate de requisitos obligatorios.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decisión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RC-SUS-02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SustainabilityLabel DEBE indicar aspecto, fase del ciclo de vida, método, evidencia y fecha.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RC-SUS-03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No puede inferirse una etiqueta global a partir de un único aspecto o fase sin una regla de agregación declarada.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SHACL/Motor de cálculo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RC-SUS-04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Una mejora de sostenibilidad NO compensa el incumplimiento de un requisito de seguridad obligatorio.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Regla de negocio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RC-SUS-05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Una configuración es inaplicable si excede las restricciones de energía, conectividad, latencia o capacidad del contexto, aunque su etiqueta global sea favorable.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RC-SUS-06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Cuando varias configuraciones válidas no dominan claramente a las demás, el sistema DEBE devolver el conjunto de alternativas Pareto y explicar sus compromisos.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Inferencia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Optimizador multiobjetivo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RC-COL. Colaboración, confianza y procedencia</w:t>
      </w:r>
    </w:p>
    <w:p>
      <w:pPr>
        <w:jc w:val="both"/>
      </w:pPr>
      <w:r>
        <w:rPr>
          <w:rFonts w:ascii="Calibri" w:hAnsi="Calibri"/>
          <w:i w:val="0"/>
        </w:rPr>
        <w:t>Gobiernan el uso de conocimiento externo en la red de hogares y evitan que una alerta falsa altere el patrón.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80"/>
        <w:gridCol w:w="1300"/>
        <w:gridCol w:w="178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Regla normativa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Tipo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RC-COL-01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hogar solo puede actuar como FriendNode si existe TrustRelationship vigente, política de intercambio y base de autorización.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SHACL/Smart contract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RC-COL-02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SharedAlert DEBE aplicar minimización y no incluir identificadores personales o del hogar salvo necesidad y autorización explícitas.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SHACL/Política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RC-COL-03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 confianza efectiva de una alerta DEBE derivarse de la confianza de la evidencia, la reputación de la fuente y el consenso disponible mediante una FormulaProfile versionada.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Cálculo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Motor de confianza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RC-COL-04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Una alerta externa solo puede ajustar riesgos de hogares cuyo inventario y contexto coincidan con su ámbito técnico.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SHACL-SPARQL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RC-COL-05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Un único evento externo no verificado NO DEBE modificar permanentemente el patrón global; debe crear una sugerencia temporal o de evolución.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Gobernanza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Workflow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RC-COL-06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Toda contradicción entre alertas DEBE conservar ambas afirmaciones, sus evidencias y la resolución adoptada; no debe eliminarse la versión discrepante.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Explicación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PROV-O/SPARQL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RC-COL-07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Las decisiones automatizadas derivadas de alertas compartidas DEBEN ser auditables hasta el nodo fuente, la regla, la versión y el contrato inteligente aplicable.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Validación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PROV-O/Blockchain</w:t>
            </w:r>
          </w:p>
        </w:tc>
      </w:tr>
    </w:tbl>
    <w:p>
      <w:pPr>
        <w:spacing w:after="20"/>
      </w:pPr>
    </w:p>
    <w:p>
      <w:pPr>
        <w:pStyle w:val="Heading1"/>
      </w:pPr>
      <w:r>
        <w:t>5. Ejemplos trabajados</w:t>
      </w:r>
    </w:p>
    <w:p>
      <w:pPr>
        <w:pStyle w:val="Heading2"/>
      </w:pPr>
      <w:r>
        <w:t>5.1. Probabilidad del 70 %</w:t>
      </w:r>
    </w:p>
    <w:p>
      <w:pPr>
        <w:jc w:val="both"/>
      </w:pPr>
      <w:r>
        <w:rPr>
          <w:rFonts w:ascii="Calibri" w:hAnsi="Calibri"/>
          <w:i w:val="0"/>
        </w:rPr>
        <w:t>Supóngase una escala configurable donde HighProbability comprende [60,80). Una observación con Probability = 70 debe clasificarse como High. Si el individuo declara Medium, se produce una violación. Sin embargo, no puede concluirse que RiskScore ≥ 70: el riesgo depende también de degradación, valor, dimensión y controles.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color w:val="000000"/>
                <w:sz w:val="16"/>
              </w:rPr>
              <w:t>Ejemplo ilustrativo, no fórmula canónica de MARISMA:</w:t>
              <w:br/>
              <w:t>P = 70; D = 40</w:t>
              <w:br/>
              <w:t>PureRisk = (P × D) / 100 = 28</w:t>
              <w:br/>
              <w:br/>
              <w:t>Inferencia válida: ProbabilityLevel = High</w:t>
              <w:br/>
              <w:t>Inferencia inválida: RiskScore debe ser &gt;= 70</w:t>
            </w:r>
          </w:p>
        </w:tc>
      </w:tr>
    </w:tbl>
    <w:p>
      <w:pPr>
        <w:pStyle w:val="Caption"/>
        <w:keepNext w:val="0"/>
        <w:jc w:val="center"/>
      </w:pPr>
      <w:r>
        <w:rPr>
          <w:rFonts w:ascii="Calibri" w:hAnsi="Calibri"/>
          <w:i/>
          <w:color w:val="5F6B73"/>
          <w:sz w:val="18"/>
        </w:rPr>
        <w:t>Ejemplo 1. Diferencia entre clasificación de probabilidad y cálculo de riesgo.</w:t>
      </w:r>
    </w:p>
    <w:p>
      <w:pPr>
        <w:pStyle w:val="Heading2"/>
      </w:pPr>
      <w:r>
        <w:t>5.2. Dimensión ausente de la matriz TAD</w:t>
      </w:r>
    </w:p>
    <w:p>
      <w:pPr>
        <w:jc w:val="both"/>
      </w:pPr>
      <w:r>
        <w:rPr>
          <w:rFonts w:ascii="Calibri" w:hAnsi="Calibri"/>
          <w:i w:val="0"/>
        </w:rPr>
        <w:t>Si la matriz solo relaciona SmartCamera × Eavesdropping con Confidentiality, no puede incorporarse automáticamente Safety al riesgo. Si un incidente demuestra un daño de seguridad personal, AURORA debe registrar la evidencia y crear una PatternEvolutionSuggestion para que el arquitecto del patrón apruebe la nueva relación.</w:t>
      </w:r>
    </w:p>
    <w:p>
      <w:pPr>
        <w:pStyle w:val="Heading2"/>
      </w:pPr>
      <w:r>
        <w:t>5.3. Eventos de acceso no autorizado</w:t>
      </w:r>
    </w:p>
    <w:p>
      <w:pPr>
        <w:jc w:val="both"/>
      </w:pPr>
      <w:r>
        <w:rPr>
          <w:rFonts w:ascii="Calibri" w:hAnsi="Calibri"/>
          <w:i w:val="0"/>
        </w:rPr>
        <w:t>MARISMA describe un caso donde varios intentos de acceso no autorizado justificaron elevar la probabilidad de Medium a High tras revisión del responsable. La formalización propuesta conserva los eventos, deduplica observaciones, calcula evidencia agregada y genera una sugerencia aprobable. La probabilidad solo se actualiza definitivamente cuando se acepta la sugerencia.</w:t>
      </w:r>
    </w:p>
    <w:p>
      <w:pPr>
        <w:pStyle w:val="Heading2"/>
      </w:pPr>
      <w:r>
        <w:t>5.4. Control comprometido</w:t>
      </w:r>
    </w:p>
    <w:p>
      <w:pPr>
        <w:jc w:val="both"/>
      </w:pPr>
      <w:r>
        <w:rPr>
          <w:rFonts w:ascii="Calibri" w:hAnsi="Calibri"/>
          <w:i w:val="0"/>
        </w:rPr>
        <w:t>Si un evento demuestra que un mecanismo MFA fue eludido, la consecuencia primaria es reducir o marcar como incierta la cobertura de esa implantación. El riesgo residual se recalcula. Solo se modifica la probabilidad de la amenaza si también existe evidencia de aumento de frecuencia, y solo se modifica la degradación si existe evidencia de daño.</w:t>
      </w:r>
    </w:p>
    <w:p>
      <w:pPr>
        <w:pStyle w:val="Heading2"/>
      </w:pPr>
      <w:r>
        <w:t>5.5. Compatibilidad criptográfica ONTO-CARMEN</w:t>
      </w:r>
    </w:p>
    <w:p>
      <w:pPr>
        <w:jc w:val="both"/>
      </w:pPr>
      <w:r>
        <w:rPr>
          <w:rFonts w:ascii="Calibri" w:hAnsi="Calibri"/>
          <w:i w:val="0"/>
        </w:rPr>
        <w:t>En el caso experimental publicado, AES128GCM es compatible con HighSecurityLevel pero no con VeryHighSecurityLevel. Ante un requisito VeryHigh, el razonador puede proponer dos reparaciones: sustituir el mecanismo por otro modelado como suficiente —ChaCha20 en el caso— o revisar justificadamente el nivel solicitado. Esta lógica es trasladable a MARISMA: un control no puede satisfacer un requisito si su capacidad es inferior al nivel requerido.</w:t>
      </w:r>
    </w:p>
    <w:p>
      <w:pPr>
        <w:pStyle w:val="Heading1"/>
      </w:pPr>
      <w:r>
        <w:t>6. Patrones de formalización</w:t>
      </w:r>
    </w:p>
    <w:p>
      <w:pPr>
        <w:jc w:val="both"/>
      </w:pPr>
      <w:r>
        <w:rPr>
          <w:rFonts w:ascii="Calibri" w:hAnsi="Calibri"/>
          <w:i w:val="0"/>
        </w:rPr>
        <w:t>Los siguientes fragmentos son patrones orientativos. Los namespaces y nombres finales deben adaptarse a la implementación de AURORA.</w:t>
      </w:r>
    </w:p>
    <w:p>
      <w:pPr>
        <w:pStyle w:val="Heading2"/>
      </w:pPr>
      <w:r>
        <w:t>6.1. Porcentajes en rango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color w:val="000000"/>
                <w:sz w:val="16"/>
              </w:rPr>
              <w:t>aurora:PercentageShape a sh:NodeShape ;</w:t>
              <w:br/>
              <w:t xml:space="preserve">    sh:targetClass aurora:PercentageObservation ;</w:t>
              <w:br/>
              <w:t xml:space="preserve">    sh:property [</w:t>
              <w:br/>
              <w:t xml:space="preserve">        sh:path aurora:numericValue ;</w:t>
              <w:br/>
              <w:t xml:space="preserve">        sh:datatype xsd:decimal ;</w:t>
              <w:br/>
              <w:t xml:space="preserve">        sh:minInclusive 0 ;</w:t>
              <w:br/>
              <w:t xml:space="preserve">        sh:maxInclusive 100 ;</w:t>
              <w:br/>
              <w:t xml:space="preserve">        sh:minCount 1 ;</w:t>
              <w:br/>
              <w:t xml:space="preserve">        sh:maxCount 1</w:t>
              <w:br/>
              <w:t xml:space="preserve">    ] .</w:t>
            </w:r>
          </w:p>
        </w:tc>
      </w:tr>
    </w:tbl>
    <w:p>
      <w:pPr>
        <w:spacing w:after="20"/>
      </w:pPr>
    </w:p>
    <w:p>
      <w:pPr>
        <w:pStyle w:val="Heading2"/>
      </w:pPr>
      <w:r>
        <w:t>6.2. Riesgo respaldado por TAD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color w:val="000000"/>
                <w:sz w:val="16"/>
              </w:rPr>
              <w:t># Pseudocódigo SHACL-SPARQL</w:t>
              <w:br/>
              <w:t>VIOLATION si existe RiskAssessment(?r, ?asset, ?threat, ?dimension)</w:t>
              <w:br/>
              <w:t>y NO existe TADRelation(</w:t>
              <w:br/>
              <w:t xml:space="preserve">    typeOf(?asset), typeOf(?threat), ?dimension, applicablePattern(?r)</w:t>
              <w:br/>
              <w:t>).</w:t>
            </w:r>
          </w:p>
        </w:tc>
      </w:tr>
    </w:tbl>
    <w:p>
      <w:pPr>
        <w:spacing w:after="20"/>
      </w:pPr>
    </w:p>
    <w:p>
      <w:pPr>
        <w:pStyle w:val="Heading2"/>
      </w:pPr>
      <w:r>
        <w:t>6.3. Coherencia entre porcentaje y nivel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color w:val="000000"/>
                <w:sz w:val="16"/>
              </w:rPr>
              <w:t># Perfil de escala de ejemplo</w:t>
              <w:br/>
              <w:t>HighProbability: minInclusive = 60; maxExclusive = 80</w:t>
              <w:br/>
              <w:br/>
              <w:t>IF probabilityValue(?o) &gt;= 60 AND probabilityValue(?o) &lt; 80</w:t>
              <w:br/>
              <w:t>THEN inferredProbabilityLevel(?o, HighProbability)</w:t>
              <w:br/>
              <w:br/>
              <w:t>VIOLATION si declaredProbabilityLevel(?o) != inferredProbabilityLevel(?o).</w:t>
            </w:r>
          </w:p>
        </w:tc>
      </w:tr>
    </w:tbl>
    <w:p>
      <w:pPr>
        <w:spacing w:after="20"/>
      </w:pPr>
    </w:p>
    <w:p>
      <w:pPr>
        <w:pStyle w:val="Heading2"/>
      </w:pPr>
      <w:r>
        <w:t>6.4. Evento con dimensión no prevista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color w:val="000000"/>
                <w:sz w:val="16"/>
              </w:rPr>
              <w:t>IF SecurityEvent(?e) affectsDimension(?e, ?d)</w:t>
              <w:br/>
              <w:t>AND NOT EXISTS applicableTAD(typeOfAsset(?e), typeOfThreat(?e), ?d)</w:t>
              <w:br/>
              <w:t>THEN CREATE PatternEvolutionSuggestion(</w:t>
              <w:br/>
              <w:t xml:space="preserve">    proposedDimension = ?d,</w:t>
              <w:br/>
              <w:t xml:space="preserve">    evidence = ?e,</w:t>
              <w:br/>
              <w:t xml:space="preserve">    status = PendingReview</w:t>
              <w:br/>
              <w:t>).</w:t>
            </w:r>
          </w:p>
        </w:tc>
      </w:tr>
    </w:tbl>
    <w:p>
      <w:pPr>
        <w:spacing w:after="20"/>
      </w:pPr>
    </w:p>
    <w:p>
      <w:pPr>
        <w:pStyle w:val="Heading2"/>
      </w:pPr>
      <w:r>
        <w:t>6.5. Compatibilidad de nivel de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color w:val="000000"/>
                <w:sz w:val="16"/>
              </w:rPr>
              <w:t>VIOLATION si:</w:t>
              <w:br/>
              <w:t>SecurityRequirement.requiredLevel &gt; SecurityMechanism.supportedLevel</w:t>
              <w:br/>
              <w:br/>
              <w:t>REPAIR OPTIONS:</w:t>
              <w:br/>
              <w:t>1. seleccionar mecanismo con supportedLevel &gt;= requiredLevel;</w:t>
              <w:br/>
              <w:t>2. revisar requiredLevel con justificación y nueva evaluación de riesgo.</w:t>
            </w:r>
          </w:p>
        </w:tc>
      </w:tr>
    </w:tbl>
    <w:p>
      <w:pPr>
        <w:spacing w:after="20"/>
      </w:pPr>
    </w:p>
    <w:p>
      <w:pPr>
        <w:pStyle w:val="Heading1"/>
      </w:pPr>
      <w:r>
        <w:t>7. Trazabilidad con las preguntas de competencia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0"/>
        <w:gridCol w:w="43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Familia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Preguntas relacionadas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Cobertura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RC-EST / RC-NUM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CQ25–CQ31, CQ81–CQ86, CQ88–CQ95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Coherencia, valores, procedencia y explicación.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RC-TAD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CQ19, CQ25, CQ30, CQ53, CQ59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Aplicabilidad de amenazas y dimensiones; evolución del patrón.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RC-RISK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CQ26–CQ31, CQ43–CQ45, CQ88–CQ92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Cálculo, monotonicidad, riesgo puro y residual.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RC-CTRL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CQ39–CQ45, CQ49, CQ57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Aplicabilidad, cobertura, evidencia y controles comprometidos.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RC-EVT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CQ53–CQ59, CQ70–CQ74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Actualización dinámica, riesgo temporal, alertas y gobierno.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RC-REQ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CQ32–CQ38, CQ90–CQ94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Validación y reparación de requisitos ONTO-CARMEN.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RC-SUS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CQ60–CQ66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Etiquetas, ciclo de vida, restricciones y optimización.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RC-COL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CQ67–CQ74, CQ87, CQ95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Confianza, minimización, contradicción y auditoría.</w:t>
            </w:r>
          </w:p>
        </w:tc>
      </w:tr>
    </w:tbl>
    <w:p>
      <w:pPr>
        <w:spacing w:after="20"/>
      </w:pPr>
    </w:p>
    <w:p>
      <w:pPr>
        <w:pStyle w:val="Heading1"/>
      </w:pPr>
      <w:r>
        <w:t>8. Estrategia de validación</w:t>
      </w:r>
    </w:p>
    <w:p>
      <w:pPr>
        <w:pStyle w:val="ListBullet"/>
        <w:keepLines/>
      </w:pPr>
      <w:r>
        <w:t>Crear un caso positivo y uno negativo para cada regla de validación.</w:t>
      </w:r>
    </w:p>
    <w:p>
      <w:pPr>
        <w:pStyle w:val="ListBullet"/>
        <w:keepLines/>
      </w:pPr>
      <w:r>
        <w:t>Crear un caso de inferencia con resultado esperado para cada regla que derive conocimiento.</w:t>
      </w:r>
    </w:p>
    <w:p>
      <w:pPr>
        <w:pStyle w:val="ListBullet"/>
        <w:keepLines/>
      </w:pPr>
      <w:r>
        <w:t>Ejecutar tests metamórficos: al aumentar probabilidad o degradación, el riesgo puro no debe disminuir; al aumentar cobertura efectiva, el riesgo residual no debe crecer.</w:t>
      </w:r>
    </w:p>
    <w:p>
      <w:pPr>
        <w:pStyle w:val="ListBullet"/>
        <w:keepLines/>
      </w:pPr>
      <w:r>
        <w:t>Validar ventanas temporales, caducidad, deduplicación y rollback de ajustes dinámicos.</w:t>
      </w:r>
    </w:p>
    <w:p>
      <w:pPr>
        <w:pStyle w:val="ListBullet"/>
        <w:keepLines/>
      </w:pPr>
      <w:r>
        <w:t>Comprobar que una nueva dimensión produce una sugerencia y no una modificación silenciosa del patrón.</w:t>
      </w:r>
    </w:p>
    <w:p>
      <w:pPr>
        <w:pStyle w:val="ListBullet"/>
        <w:keepLines/>
      </w:pPr>
      <w:r>
        <w:t>Verificar que toda reparación conserva causa, regla, valores previos, valores nuevos y responsable de la decisión.</w:t>
      </w:r>
    </w:p>
    <w:p>
      <w:pPr>
        <w:pStyle w:val="ListBullet"/>
        <w:keepLines/>
      </w:pPr>
      <w:r>
        <w:t>Mantener una matriz RuleID ↔ CQID ↔ Shape/Query ↔ Dataset ↔ ExpectedResult ↔ Evidence.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Criterio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Condición de aceptación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Corrección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Todas las reglas prioritarias tienen tests positivos y negativos reproducibles.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Consistencia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No existen niveles cualitativos incompatibles con sus valores y escalas.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Completitud TAD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Todo riesgo activo está respaldado por una relación TAD válida.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Dinámica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Los eventos actualizan únicamente magnitudes sustentadas por evidencia.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Trazabilidad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Toda inferencia o actualización identifica fuente, regla, versión y fecha.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Gobernanza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Los cambios de patrón y los ajustes permanentes requieren decisión registrada.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Explicabilidad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Cada violación incluye diagnóstico y, cuando sea posible, reparaciones alternativas.</w:t>
            </w:r>
          </w:p>
        </w:tc>
      </w:tr>
    </w:tbl>
    <w:p>
      <w:pPr>
        <w:spacing w:after="20"/>
      </w:pPr>
    </w:p>
    <w:p>
      <w:pPr>
        <w:pStyle w:val="Heading1"/>
      </w:pPr>
      <w:r>
        <w:t>9. Conclusiones</w:t>
      </w:r>
    </w:p>
    <w:p>
      <w:pPr>
        <w:jc w:val="both"/>
      </w:pPr>
      <w:r>
        <w:rPr>
          <w:rFonts w:ascii="Calibri" w:hAnsi="Calibri"/>
          <w:i w:val="0"/>
        </w:rPr>
        <w:t>El debate del equipo aporta una evolución necesaria del trabajo: pasar de un catálogo de preguntas a un catálogo normativo de consistencia e inferencia. Esta capa es plenamente compatible con una arquitectura ontológica, siempre que se distribuya correctamente entre OWL, SHACL, reglas, motores de riesgo y procesamiento de eventos.</w:t>
      </w:r>
    </w:p>
    <w:p>
      <w:pPr>
        <w:jc w:val="both"/>
      </w:pPr>
      <w:r>
        <w:rPr>
          <w:rFonts w:ascii="Calibri" w:hAnsi="Calibri"/>
          <w:i w:val="0"/>
        </w:rPr>
        <w:t>Las reglas más valiosas para MARISMA-AURORA son las que reifican las relaciones TAD, separan valores de catálogo y observaciones, versionan escalas y fórmulas, garantizan monotonicidad del riesgo, distinguen probabilidad, degradación y cobertura, y convierten hechos inéditos en sugerencias trazables de evolución. ONTO-CARMEN proporciona el patrón de referencia: una configuración puede validarse, diagnosticarse y repararse a partir de compatibilidades explícitas entre mecanismos y niveles. El presente catálogo traslada ese mismo principio al análisis dinámico de riesgos de MARISMA.</w:t>
      </w:r>
    </w:p>
    <w:p>
      <w:pPr>
        <w:pStyle w:val="Heading1"/>
      </w:pPr>
      <w:r>
        <w:t>Anexo A. Recomendación de modelado mínimo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Clase propuesta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RiskAssessment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Reifica riesgo para activo, amenaza, dimensión, contexto y tiempo.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TADRelation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Reifica aplicabilidad TypeOfAsset × TypeOfThreat × Dimension.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ThreatObservation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Registra probabilidad o frecuencia observada con evidencia.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DimensionImpactAssessment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Registra degradación o impacto por dimensión.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ControlImplementation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Representa la implantación concreta de un control.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ControlAssessment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Registra cobertura, estado y evidencia de una implantación.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ScaleProfile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Define intervalos y orden de niveles cualitativos.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FormulaProfile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Versiona una fórmula de riesgo, confianza o agregación.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SecurityEvent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Representa un evento categorizado y sus evidencias.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TemporaryRiskAdjustment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Representa ajustes externos o temporales con TTL.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PatternEvolutionSuggestion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Propone cambios al patrón pendientes de aprobación.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RequirementConflict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Representa incompatibilidades entre requisitos obligatorios.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Evidence/Provenance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Vincula hechos derivados con fuentes, reglas y versiones.</w:t>
            </w:r>
          </w:p>
        </w:tc>
      </w:tr>
    </w:tbl>
    <w:p>
      <w:pPr>
        <w:spacing w:after="20"/>
      </w:pPr>
    </w:p>
    <w:p>
      <w:pPr>
        <w:pStyle w:val="Heading1"/>
      </w:pPr>
      <w:r>
        <w:t>Anexo B. Fuentes</w:t>
      </w:r>
    </w:p>
    <w:p>
      <w:pPr>
        <w:pStyle w:val="ListBullet"/>
        <w:keepLines/>
      </w:pPr>
      <w:r>
        <w:t>Blanco, C., et al. (2023). “Onto-CARMEN: Ontology-driven approach for Cyber–Physical System Security Requirements meta-modelling and reasoning”. Internet of Things, 24, 100989. https://doi.org/10.1016/j.iot.2023.100989.</w:t>
      </w:r>
    </w:p>
    <w:p>
      <w:pPr>
        <w:pStyle w:val="ListBullet"/>
        <w:keepLines/>
      </w:pPr>
      <w:r>
        <w:t>Sánchez, L. E., et al. (2025). “MARISMA: A modern and context-aware framework for assessing and managing information cybersecurity risks”. Computer Standards &amp; Interfaces, 92, 103935. https://doi.org/10.1016/j.csi.2024.103935.</w:t>
      </w:r>
    </w:p>
    <w:p>
      <w:pPr>
        <w:pStyle w:val="ListBullet"/>
        <w:keepLines/>
      </w:pPr>
      <w:r>
        <w:t>Proyecto AURORA (2024). “Anexo I - Memoria Proyecto AURORA 2024 v3.0”.</w:t>
      </w:r>
    </w:p>
    <w:p>
      <w:pPr>
        <w:pStyle w:val="ListBullet"/>
        <w:keepLines/>
      </w:pPr>
      <w:r>
        <w:t>Intercambio técnico del equipo AURORA sobre reglas de prueba, restricciones entre elementos y evolución dinámica de riesgos, 13 de julio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3"/>
        <w:sz w:val="17"/>
      </w:rPr>
      <w:t>AURORA - Reglas MARISMA y ONTO-CARMEN</w:t>
    </w:r>
    <w:r>
      <w:tab/>
    </w:r>
    <w:r>
      <w:rPr>
        <w:rFonts w:ascii="Calibri" w:hAnsi="Calibri"/>
        <w:color w:val="5F6B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9E1E6"/>
      </w:pBdr>
    </w:pPr>
    <w:r>
      <w:rPr>
        <w:rFonts w:ascii="Calibri" w:hAnsi="Calibri"/>
        <w:b/>
        <w:color w:val="5F6B73"/>
        <w:sz w:val="17"/>
      </w:rPr>
    </w:r>
    <w:r>
      <w:rPr>
        <w:rFonts w:ascii="Calibri" w:hAnsi="Calibri"/>
        <w:b/>
        <w:color w:val="5F6B73"/>
        <w:sz w:val="17"/>
      </w:rPr>
      <w:t>PROYECTO AURORA  |  REGLAS Y RESTRICCIONES SEMÁNTICAS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ind w:left="936" w:hanging="279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/>
      <w:b/>
      <w:bCs/>
      <w:i/>
      <w:color w:val="5F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etencyQuestion">
    <w:name w:val="Competency Question"/>
    <w:basedOn w:val="Normal"/>
    <w:pPr>
      <w:spacing w:before="0" w:after="100" w:line="276" w:lineRule="auto"/>
      <w:ind w:left="1037" w:hanging="1037"/>
    </w:pPr>
    <w:rPr>
      <w:rFonts w:ascii="Calibri" w:hAnsi="Calibri"/>
      <w:sz w:val="21"/>
    </w:rPr>
  </w:style>
  <w:style w:type="paragraph" w:customStyle="1" w:styleId="ScenarioHeading">
    <w:name w:val="Scenario Heading"/>
    <w:basedOn w:val="Heading3"/>
    <w:pPr>
      <w:keepNext/>
      <w:spacing w:before="200" w:after="80"/>
    </w:pPr>
    <w:rPr>
      <w:rFonts w:ascii="Calibri" w:hAnsi="Calibr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reglas semánticas, restricciones e inferencias para AURORA</dc:title>
  <dc:subject>Integración de MARISMA y ONTO-CARMEN</dc:subject>
  <dc:creator>python-docx</dc:creator>
  <cp:keywords>AURORA, MARISMA, ONTO-CARMEN, ontología, SHACL, reglas, riesgo, eventos, TAD</cp:keywords>
  <dc:description>Documento técnico complementario, versión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