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GABORA: a proof-of-concept tool for cumulative impact assessment of water licence applications in the Surat Basin</w:t>
      </w:r>
    </w:p>
    <w:p>
      <w:pPr>
        <w:spacing w:after="80"/>
        <w:jc w:val="center"/>
      </w:pPr>
      <w:r>
        <w:rPr>
          <w:color w:val="1F3864"/>
          <w:sz w:val="26"/>
        </w:rPr>
        <w:t>A proof-of-concept overview</w:t>
      </w:r>
    </w:p>
    <w:p>
      <w:pPr>
        <w:spacing w:after="40"/>
        <w:jc w:val="center"/>
      </w:pPr>
      <w:r>
        <w:t>Version 0.1 (draft)   |   July 2026</w:t>
      </w:r>
    </w:p>
    <w:p>
      <w:pPr>
        <w:spacing w:after="40"/>
        <w:jc w:val="center"/>
      </w:pPr>
      <w:r>
        <w:t>Document ID: [to be confirmed]</w:t>
      </w:r>
    </w:p>
    <w:p>
      <w:pPr>
        <w:spacing w:after="240"/>
        <w:jc w:val="center"/>
      </w:pPr>
      <w:r>
        <w:rPr>
          <w:sz w:val="18"/>
        </w:rPr>
        <w:t>[Branded cover artwork and Queensland Government crest to be applied from the departmental template]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Version</w:t>
            </w:r>
          </w:p>
        </w:tc>
        <w:tc>
          <w:tcPr>
            <w:tcW w:type="dxa" w:w="3024"/>
          </w:tcPr>
          <w:p>
            <w:r>
              <w:rPr>
                <w:b/>
              </w:rPr>
              <w:t>Release date</w:t>
            </w:r>
          </w:p>
        </w:tc>
        <w:tc>
          <w:tcPr>
            <w:tcW w:type="dxa" w:w="3024"/>
          </w:tcPr>
          <w:p>
            <w:r>
              <w:rPr>
                <w:b/>
              </w:rPr>
              <w:t>Authorised by</w:t>
            </w:r>
          </w:p>
        </w:tc>
      </w:tr>
      <w:tr>
        <w:tc>
          <w:tcPr>
            <w:tcW w:type="dxa" w:w="3024"/>
          </w:tcPr>
          <w:p>
            <w:r>
              <w:t>0.1 (draft)</w:t>
            </w:r>
          </w:p>
        </w:tc>
        <w:tc>
          <w:tcPr>
            <w:tcW w:type="dxa" w:w="3024"/>
          </w:tcPr>
          <w:p>
            <w:r>
              <w:t>July 2026</w:t>
            </w:r>
          </w:p>
        </w:tc>
        <w:tc>
          <w:tcPr>
            <w:tcW w:type="dxa" w:w="3024"/>
          </w:tcPr>
          <w:p>
            <w:r>
              <w:t>[to be confirmed]</w:t>
            </w:r>
          </w:p>
        </w:tc>
      </w:tr>
    </w:tbl>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Citation: Schoning, G (2026), GABORA: a proof-of-concept tool for cumulative impact assessment of water licence applications in the Surat Basin. A proof-of-concept overview, Department of Local Government, Water and Volunteers, Queensland Government, Australia. July 2026.</w:t>
      </w:r>
    </w:p>
    <w:p>
      <w:pPr>
        <w:spacing w:after="120"/>
      </w:pPr>
      <w:r>
        <w:rPr>
          <w:sz w:val="18"/>
        </w:rPr>
        <w:t>Contributors: [to be confirmed]</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and for technical reviewers of the proof of concept.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approved. Answering that question defensibly in GAB aquifers has generally required either a scenario run of a regional groundwater model, which is rigorous but requires specialist modellers and turnaround times measured in weeks, or a simplified analytical calculation, which is fast but does not represent aquifer geometry, spatially variable properties, boundaries or recharge, and is difficult to reconcile with regional model predictions.</w:t>
      </w:r>
    </w:p>
    <w:p>
      <w:pPr>
        <w:spacing w:after="120"/>
      </w:pPr>
      <w:r>
        <w:t>The Office of Groundwater Impact Assessment (OGIA) maintains the calibrated regional model that underpins the Underground Water Impact Report (UWIR) for the Surat Cumulative Management Area (OGIA 2025). That model is the State's established representation of the flow system. A licensing tool that is consistent with it, rather than parallel to it, avoids introducing a second and potentially conflicting basis for impact predictions.</w:t>
      </w:r>
    </w:p>
    <w:p>
      <w:pPr>
        <w:pStyle w:val="Heading2"/>
      </w:pPr>
      <w:r>
        <w:t>1.3  Purpose of this paper</w:t>
      </w:r>
    </w:p>
    <w:p>
      <w:pPr>
        <w:spacing w:after="120"/>
      </w:pPr>
      <w:r>
        <w:t>This paper describes a proof-of-concept decision-support tool, GABORA, that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needs three numbers for each receptor: the impact of extraction that is already approved, the additional impact attributable to the application in front of them, and the combined total against the trigger threshold. Producing these from a regional model requires re-running large scenarios for every application, and attributing the applicant's share by differencing two large and nearly equal results. Producing them analytically sacrifices the calibrated spatial detail that makes the numbers defensible. GABORA is designed to occupy the gap between these pathways: regional-model fidelity at interactive speed, packaged so that a licensing officer rather than a modeller can run it.</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 and superposition</w:t>
      </w:r>
    </w:p>
    <w:p>
      <w:pPr>
        <w:spacing w:after="120"/>
      </w:pPr>
      <w:r>
        <w:t>The model is kept strictly linear: cells are confined-equivalent, and all boundary conditions are linear. Drawdowns from separate stresses therefore add, and the tool exploits this directly. The baseline scenarios, comprising all existing extraction (scenario A) and the licensed entitlement subset of that extraction (scenario L), are computed once per aquifer and cached. Only the proposed change (scenario C) is modelled per assessment, and the total impact is obtained by addition rather than by re-modelling. An assessment consequently costs one small model run, completing in minutes, and the applicant's contribution is isolated exactly rather than estimated by differencing near-equal totals.</w:t>
      </w:r>
    </w:p>
    <w:p>
      <w:pPr>
        <w:spacing w:after="120"/>
      </w:pPr>
      <w:r>
        <w:t>The linearity on which this relies is verified rather than assumed. The automated test suite runs a directly modelled combined scenario and confirms that it matches the sum of the separately modelled scenarios to solver precision, with differences of the order of 10-9 m, and that the residual does not grow as pumping rates are scaled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A conventional unconfined treatment of the outcrop would make the model non-linear and invalidate superposition. The tool instead reproduces the parent model's linearisation: outcrop cells carry water-table-scale storage, and spring discharge and rejected recharge are represented at the parent model's calibrated drain cells. The linearisation can locally under-predict drawdown where sustained pumping would lower heads below a drain that a real system would have shut off; rather than leaving that assumption silent, every run counts and reports such cells as a quality metric, and the interface warns when the count is non-zero.</w:t>
      </w:r>
    </w:p>
    <w:p>
      <w:pPr>
        <w:pStyle w:val="Heading2"/>
      </w:pPr>
      <w:r>
        <w:t>3.5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coal seam gas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stock and domestic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Every scenario also reports a Theis analytical estimate (Theis 1935) beside the numerical result, so divergence between the two, arising from heterogeneity, boundaries or storage, is visible to the officer rather than hidden.</w:t>
      </w:r>
    </w:p>
    <w:p>
      <w:pPr>
        <w:pStyle w:val="Heading2"/>
      </w:pPr>
      <w:r>
        <w:t>4.3  Auditability and provenance</w:t>
      </w:r>
    </w:p>
    <w:p>
      <w:pPr>
        <w:spacing w:after="120"/>
      </w:pPr>
      <w:r>
        <w:t>Approve and reject decisions are recorded in an append-only register together with the scenario definition, the headline results, hashes of the configuration and input datasets, and the model version. Every number in an assessment can consequently be reproduced later from its recorded provenance. This is intended to support the defensibility of decisions informed by the tool.</w:t>
      </w:r>
    </w:p>
    <w:p>
      <w:pPr>
        <w:pStyle w:val="Heading1"/>
      </w:pPr>
      <w:r>
        <w:t>5  Verification</w:t>
      </w:r>
    </w:p>
    <w:p>
      <w:pPr>
        <w:spacing w:after="120"/>
      </w:pPr>
      <w:r>
        <w:t>The tool carries an automated test suite of 30 tests that runs on every change. Superposition is verified against a directly modelled combined scenario, both on an idealised model and with the full boundary and storage machinery active, with agreement at solver precision.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Linearisation limits. The confined linearised treatment is exact for superposition but approximate for large water-table declines in the outcrop; the per-run reversal metric flags where this matters, and refinement can be investigated as usage patterns emerge.</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Additional aquifer modules as demand requires.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w:t>
      </w:r>
    </w:p>
    <w:p>
      <w:pPr>
        <w:pStyle w:val="ListBullet"/>
        <w:spacing w:after="120"/>
      </w:pPr>
      <w:r>
        <w:t>Superposition with cached baselines isolates the applicant's contribution exactly and reduces an assessment to one small model run; the linearity this relies on is verified to solver precision, not assumed.</w:t>
      </w:r>
    </w:p>
    <w:p>
      <w:pPr>
        <w:pStyle w:val="ListBullet"/>
        <w:spacing w:after="120"/>
      </w:pPr>
      <w:r>
        <w:t>Impacts are reported in four layers so that approved, licensed and proposed contributions are visible separately, and threshold exceedances are attributed to the correct cause.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