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2A44"/>
          <w:sz w:val="64"/>
          <w:szCs w:val="64"/>
        </w:rPr>
        <w:t xml:space="preserve">NYAYA MITRA</w:t>
      </w:r>
    </w:p>
    <w:p>
      <w:pPr>
        <w:spacing w:after="100" w:before="200"/>
        <w:jc w:val="center"/>
      </w:pPr>
      <w:r>
        <w:rPr>
          <w:b/>
          <w:bCs/>
          <w:color w:val="B08D57"/>
          <w:sz w:val="28"/>
          <w:szCs w:val="28"/>
        </w:rPr>
        <w:t xml:space="preserve">An Agentic AI Platform for Undertrial Prisoner Bail-Eligibility Management</w:t>
      </w:r>
    </w:p>
    <w:p>
      <w:pPr>
        <w:spacing w:before="400"/>
        <w:jc w:val="center"/>
      </w:pPr>
      <w:r>
        <w:rPr>
          <w:i/>
          <w:iCs/>
          <w:color w:val="444444"/>
          <w:sz w:val="24"/>
          <w:szCs w:val="24"/>
        </w:rPr>
        <w:t xml:space="preserve">Complete Project Report — Problem Statement &amp; Proposed Solution</w:t>
      </w:r>
    </w:p>
    <w:p>
      <w:pPr>
        <w:spacing w:before="800"/>
        <w:jc w:val="center"/>
      </w:pPr>
      <w:r>
        <w:rPr>
          <w:color w:val="444444"/>
          <w:sz w:val="20"/>
          <w:szCs w:val="20"/>
        </w:rPr>
        <w:t xml:space="preserve">Prepared for: HackVerse 2.0, MIT Bengaluru</w:t>
      </w:r>
    </w:p>
    <w:p>
      <w:pPr>
        <w:spacing w:before="100"/>
        <w:jc w:val="center"/>
      </w:pPr>
      <w:r>
        <w:rPr>
          <w:color w:val="444444"/>
          <w:sz w:val="20"/>
          <w:szCs w:val="20"/>
        </w:rPr>
        <w:t xml:space="preserve">Team: Tensor Titans</w:t>
      </w:r>
    </w:p>
    <w:p>
      <w:pPr>
        <w:spacing w:before="100"/>
        <w:jc w:val="center"/>
      </w:pPr>
      <w:r>
        <w:rPr>
          <w:color w:val="444444"/>
          <w:sz w:val="20"/>
          <w:szCs w:val="20"/>
        </w:rPr>
        <w:t xml:space="preserve">Theme: AI for Sustainable and Social Impact</w:t>
      </w:r>
    </w:p>
    <w:p>
      <w:pPr>
        <w:spacing w:before="600"/>
        <w:jc w:val="center"/>
      </w:pPr>
      <w:r>
        <w:rPr>
          <w:i/>
          <w:iCs/>
          <w:color w:val="777777"/>
          <w:sz w:val="18"/>
          <w:szCs w:val="18"/>
        </w:rPr>
        <w:t xml:space="preserve">This document is written to be self-contained: a reader with no prior context should be able to understand the problem fully and build the proposed solution independently from this report alone.</w:t>
      </w:r>
    </w:p>
    <w:p>
      <w:r>
        <w:br w:type="page"/>
      </w:r>
    </w:p>
    <w:p>
      <w:pPr>
        <w:pStyle w:val="Heading1"/>
        <w:pBdr>
          <w:bottom w:val="single" w:color="B08D57" w:sz="6" w:space="4"/>
        </w:pBdr>
        <w:spacing w:after="240" w:before="480"/>
      </w:pPr>
      <w:r>
        <w:rPr>
          <w:b/>
          <w:bCs/>
          <w:color w:val="1F2A44"/>
          <w:sz w:val="32"/>
          <w:szCs w:val="32"/>
        </w:rPr>
        <w:t xml:space="preserve">Table of Contents</w:t>
      </w:r>
    </w:p>
    <w:p>
      <w:pPr>
        <w:spacing w:after="160" w:line="300"/>
      </w:pPr>
      <w:r>
        <w:rPr>
          <w:color w:val="444444"/>
          <w:sz w:val="22"/>
          <w:szCs w:val="22"/>
        </w:rPr>
        <w:t xml:space="preserve">1.  Executive Summary</w:t>
      </w:r>
    </w:p>
    <w:p>
      <w:pPr>
        <w:spacing w:after="160" w:line="300"/>
      </w:pPr>
      <w:r>
        <w:rPr>
          <w:color w:val="444444"/>
          <w:sz w:val="22"/>
          <w:szCs w:val="22"/>
        </w:rPr>
        <w:t xml:space="preserve">2.  Part A — The Problem Statement</w:t>
      </w:r>
    </w:p>
    <w:p>
      <w:pPr>
        <w:spacing w:after="160" w:line="300"/>
      </w:pPr>
      <w:r>
        <w:rPr>
          <w:color w:val="444444"/>
          <w:sz w:val="22"/>
          <w:szCs w:val="22"/>
        </w:rPr>
        <w:t xml:space="preserve">      2.1  Definitions and Context</w:t>
      </w:r>
    </w:p>
    <w:p>
      <w:pPr>
        <w:spacing w:after="160" w:line="300"/>
      </w:pPr>
      <w:r>
        <w:rPr>
          <w:color w:val="444444"/>
          <w:sz w:val="22"/>
          <w:szCs w:val="22"/>
        </w:rPr>
        <w:t xml:space="preserve">      2.2  Scale of the Problem — Verified Statistics</w:t>
      </w:r>
    </w:p>
    <w:p>
      <w:pPr>
        <w:spacing w:after="160" w:line="300"/>
      </w:pPr>
      <w:r>
        <w:rPr>
          <w:color w:val="444444"/>
          <w:sz w:val="22"/>
          <w:szCs w:val="22"/>
        </w:rPr>
        <w:t xml:space="preserve">      2.3  The Legal Mechanism — Section 479 BNSS</w:t>
      </w:r>
    </w:p>
    <w:p>
      <w:pPr>
        <w:spacing w:after="160" w:line="300"/>
      </w:pPr>
      <w:r>
        <w:rPr>
          <w:color w:val="444444"/>
          <w:sz w:val="22"/>
          <w:szCs w:val="22"/>
        </w:rPr>
        <w:t xml:space="preserve">      2.4  Root Causes — Why the Law Goes Unused</w:t>
      </w:r>
    </w:p>
    <w:p>
      <w:pPr>
        <w:spacing w:after="160" w:line="300"/>
      </w:pPr>
      <w:r>
        <w:rPr>
          <w:color w:val="444444"/>
          <w:sz w:val="22"/>
          <w:szCs w:val="22"/>
        </w:rPr>
        <w:t xml:space="preserve">      2.5  Human and State Cost</w:t>
      </w:r>
    </w:p>
    <w:p>
      <w:pPr>
        <w:spacing w:after="160" w:line="300"/>
      </w:pPr>
      <w:r>
        <w:rPr>
          <w:color w:val="444444"/>
          <w:sz w:val="22"/>
          <w:szCs w:val="22"/>
        </w:rPr>
        <w:t xml:space="preserve">      2.6  Open Questions the Team Is Still Validating</w:t>
      </w:r>
    </w:p>
    <w:p>
      <w:pPr>
        <w:spacing w:after="160" w:line="300"/>
      </w:pPr>
      <w:r>
        <w:rPr>
          <w:color w:val="444444"/>
          <w:sz w:val="22"/>
          <w:szCs w:val="22"/>
        </w:rPr>
        <w:t xml:space="preserve">3.  Part B — The Proposed Solution</w:t>
      </w:r>
    </w:p>
    <w:p>
      <w:pPr>
        <w:spacing w:after="160" w:line="300"/>
      </w:pPr>
      <w:r>
        <w:rPr>
          <w:color w:val="444444"/>
          <w:sz w:val="22"/>
          <w:szCs w:val="22"/>
        </w:rPr>
        <w:t xml:space="preserve">      3.1  Solution Overview and Design Philosophy</w:t>
      </w:r>
    </w:p>
    <w:p>
      <w:pPr>
        <w:spacing w:after="160" w:line="300"/>
      </w:pPr>
      <w:r>
        <w:rPr>
          <w:color w:val="444444"/>
          <w:sz w:val="22"/>
          <w:szCs w:val="22"/>
        </w:rPr>
        <w:t xml:space="preserve">      3.2  Who Uses It and How</w:t>
      </w:r>
    </w:p>
    <w:p>
      <w:pPr>
        <w:spacing w:after="160" w:line="300"/>
      </w:pPr>
      <w:r>
        <w:rPr>
          <w:color w:val="444444"/>
          <w:sz w:val="22"/>
          <w:szCs w:val="22"/>
        </w:rPr>
        <w:t xml:space="preserve">      3.3  The Eight-Agent Pipeline (Detailed)</w:t>
      </w:r>
    </w:p>
    <w:p>
      <w:pPr>
        <w:spacing w:after="160" w:line="300"/>
      </w:pPr>
      <w:r>
        <w:rPr>
          <w:color w:val="444444"/>
          <w:sz w:val="22"/>
          <w:szCs w:val="22"/>
        </w:rPr>
        <w:t xml:space="preserve">      3.4  Ethics and Safety by Design</w:t>
      </w:r>
    </w:p>
    <w:p>
      <w:pPr>
        <w:spacing w:after="160" w:line="300"/>
      </w:pPr>
      <w:r>
        <w:rPr>
          <w:color w:val="444444"/>
          <w:sz w:val="22"/>
          <w:szCs w:val="22"/>
        </w:rPr>
        <w:t xml:space="preserve">      3.5  Why This Differs From a Typical Legal-AI Entry</w:t>
      </w:r>
    </w:p>
    <w:p>
      <w:pPr>
        <w:spacing w:after="160" w:line="300"/>
      </w:pPr>
      <w:r>
        <w:rPr>
          <w:color w:val="444444"/>
          <w:sz w:val="22"/>
          <w:szCs w:val="22"/>
        </w:rPr>
        <w:t xml:space="preserve">4.  Part C — Technical Build Specification</w:t>
      </w:r>
    </w:p>
    <w:p>
      <w:pPr>
        <w:spacing w:after="160" w:line="300"/>
      </w:pPr>
      <w:r>
        <w:rPr>
          <w:color w:val="444444"/>
          <w:sz w:val="22"/>
          <w:szCs w:val="22"/>
        </w:rPr>
        <w:t xml:space="preserve">      4.1  Technology Stack and Decision Rationale</w:t>
      </w:r>
    </w:p>
    <w:p>
      <w:pPr>
        <w:spacing w:after="160" w:line="300"/>
      </w:pPr>
      <w:r>
        <w:rPr>
          <w:color w:val="444444"/>
          <w:sz w:val="22"/>
          <w:szCs w:val="22"/>
        </w:rPr>
        <w:t xml:space="preserve">      4.2  System Architecture and Repository Structure</w:t>
      </w:r>
    </w:p>
    <w:p>
      <w:pPr>
        <w:spacing w:after="160" w:line="300"/>
      </w:pPr>
      <w:r>
        <w:rPr>
          <w:color w:val="444444"/>
          <w:sz w:val="22"/>
          <w:szCs w:val="22"/>
        </w:rPr>
        <w:t xml:space="preserve">      4.3  Data Schemas and Prompt Templates</w:t>
      </w:r>
    </w:p>
    <w:p>
      <w:pPr>
        <w:spacing w:after="160" w:line="300"/>
      </w:pPr>
      <w:r>
        <w:rPr>
          <w:color w:val="444444"/>
          <w:sz w:val="22"/>
          <w:szCs w:val="22"/>
        </w:rPr>
        <w:t xml:space="preserve">      4.4  Build Roadmap — Phase by Phase</w:t>
      </w:r>
    </w:p>
    <w:p>
      <w:pPr>
        <w:spacing w:after="160" w:line="300"/>
      </w:pPr>
      <w:r>
        <w:rPr>
          <w:color w:val="444444"/>
          <w:sz w:val="22"/>
          <w:szCs w:val="22"/>
        </w:rPr>
        <w:t xml:space="preserve">      4.5  Team Roles and Coordination</w:t>
      </w:r>
    </w:p>
    <w:p>
      <w:pPr>
        <w:spacing w:after="160" w:line="300"/>
      </w:pPr>
      <w:r>
        <w:rPr>
          <w:color w:val="444444"/>
          <w:sz w:val="22"/>
          <w:szCs w:val="22"/>
        </w:rPr>
        <w:t xml:space="preserve">      4.6  Risk Register</w:t>
      </w:r>
    </w:p>
    <w:p>
      <w:pPr>
        <w:spacing w:after="160" w:line="300"/>
      </w:pPr>
      <w:r>
        <w:rPr>
          <w:color w:val="444444"/>
          <w:sz w:val="22"/>
          <w:szCs w:val="22"/>
        </w:rPr>
        <w:t xml:space="preserve">5.  Part D — Impact, Scope and Framing</w:t>
      </w:r>
    </w:p>
    <w:p>
      <w:pPr>
        <w:spacing w:after="160" w:line="300"/>
      </w:pPr>
      <w:r>
        <w:rPr>
          <w:color w:val="444444"/>
          <w:sz w:val="22"/>
          <w:szCs w:val="22"/>
        </w:rPr>
        <w:t xml:space="preserve">6.  Sources and References</w:t>
      </w:r>
    </w:p>
    <w:p>
      <w:r>
        <w:br w:type="page"/>
      </w:r>
    </w:p>
    <w:p>
      <w:pPr>
        <w:pStyle w:val="Heading1"/>
        <w:pBdr>
          <w:bottom w:val="single" w:color="B08D57" w:sz="6" w:space="4"/>
        </w:pBdr>
        <w:spacing w:after="240" w:before="480"/>
      </w:pPr>
      <w:r>
        <w:rPr>
          <w:b/>
          <w:bCs/>
          <w:color w:val="1F2A44"/>
          <w:sz w:val="32"/>
          <w:szCs w:val="32"/>
        </w:rPr>
        <w:t xml:space="preserve">1. Executive Summary</w:t>
      </w:r>
    </w:p>
    <w:p>
      <w:pPr>
        <w:spacing w:after="160" w:line="300"/>
      </w:pPr>
      <w:r>
        <w:rPr>
          <w:color w:val="444444"/>
          <w:sz w:val="22"/>
          <w:szCs w:val="22"/>
        </w:rPr>
        <w:t xml:space="preserve">Nyaya Mitra is an agentic AI legal-operations platform designed to help India's District Legal Services Authorities (DLSAs) and prison legal-aid clinics identify, verify, prioritize, and act on cases of undertrial prisoners who are already legally entitled to bail under Section 479 of the Bharatiya Nagarik Suraksha Sanhita (BNSS) — but whose cases have not been flagged simply due to lack of staff bandwidth to review every file.</w:t>
      </w:r>
    </w:p>
    <w:p>
      <w:pPr>
        <w:spacing w:after="160" w:line="300"/>
      </w:pPr>
      <w:r>
        <w:rPr>
          <w:color w:val="444444"/>
          <w:sz w:val="22"/>
          <w:szCs w:val="22"/>
        </w:rPr>
        <w:t xml:space="preserve">The core insight behind the project is that this is not a gap in the law. The legal right to release already exists and is well defined. It is a gap in tracking, verification, and follow-through, caused by chronic understaffing of jails and legal-aid systems, incomplete and scattered case records, and a complete absence of tracking once a bail application has actually been filed.</w:t>
      </w:r>
    </w:p>
    <w:p>
      <w:pPr>
        <w:spacing w:after="160" w:line="300"/>
      </w:pPr>
      <w:r>
        <w:rPr>
          <w:color w:val="444444"/>
          <w:sz w:val="22"/>
          <w:szCs w:val="22"/>
        </w:rPr>
        <w:t xml:space="preserve">The proposed system is built as a pipeline of eight cooperating AI agents — covering document-completeness checking, eligibility calculation, case prioritization, lawyer notification, statute retrieval, application drafting, multilingual explanation for families, and post-filing status tracking — with one non-negotiable design rule running through all of it: the AI never decides who deserves bail. Eligibility is computed as a deterministic rule (custody time vs. a statutory threshold), and every drafted document requires a human legal-aid lawyer's review and sign-off before it is filed in court.</w:t>
      </w:r>
    </w:p>
    <w:p>
      <w:pPr>
        <w:spacing w:after="160" w:line="300"/>
      </w:pPr>
      <w:r>
        <w:rPr>
          <w:color w:val="444444"/>
          <w:sz w:val="22"/>
          <w:szCs w:val="22"/>
        </w:rPr>
        <w:t xml:space="preserve">This report is written to stand alone: Part A explains the problem in full depth with sourced statistics and legal detail; Part B explains the proposed solution and its design philosophy; Part C is a complete technical build specification — architecture, data schemas, prompt templates, and a phase-by-phase roadmap — detailed enough that a different team could pick up this document and build the system independently, following their own technical choices where the report leaves room for it.</w:t>
      </w:r>
    </w:p>
    <w:p>
      <w:pPr>
        <w:pStyle w:val="Heading1"/>
        <w:pBdr>
          <w:bottom w:val="single" w:color="B08D57" w:sz="6" w:space="4"/>
        </w:pBdr>
        <w:spacing w:after="240" w:before="480"/>
      </w:pPr>
      <w:r>
        <w:rPr>
          <w:b/>
          <w:bCs/>
          <w:color w:val="1F2A44"/>
          <w:sz w:val="32"/>
          <w:szCs w:val="32"/>
        </w:rPr>
        <w:t xml:space="preserve">2. Part A — The Problem Statement</w:t>
      </w:r>
    </w:p>
    <w:p>
      <w:pPr>
        <w:pStyle w:val="Heading2"/>
        <w:spacing w:after="160" w:before="360"/>
      </w:pPr>
      <w:r>
        <w:rPr>
          <w:b/>
          <w:bCs/>
          <w:color w:val="1F2A44"/>
          <w:sz w:val="26"/>
          <w:szCs w:val="26"/>
        </w:rPr>
        <w:t xml:space="preserve">2.1 Definitions and Context</w:t>
      </w:r>
    </w:p>
    <w:p>
      <w:pPr>
        <w:spacing w:after="160" w:line="300"/>
      </w:pPr>
      <w:r>
        <w:rPr>
          <w:b/>
          <w:bCs/>
          <w:color w:val="444444"/>
          <w:sz w:val="22"/>
          <w:szCs w:val="22"/>
        </w:rPr>
        <w:t xml:space="preserve">Undertrial prisoner: </w:t>
      </w:r>
      <w:r>
        <w:rPr>
          <w:color w:val="444444"/>
          <w:sz w:val="22"/>
          <w:szCs w:val="22"/>
        </w:rPr>
        <w:t xml:space="preserve">a person who has been arrested and is being held in custody, but whose criminal trial has not yet concluded — meaning they have not been convicted of any offence. Under Indian law they remain presumed innocent throughout this period. Many undertrials spend months or years in custody purely awaiting the resolution of their case.</w:t>
      </w:r>
    </w:p>
    <w:p>
      <w:pPr>
        <w:spacing w:after="160" w:line="300"/>
      </w:pPr>
      <w:r>
        <w:rPr>
          <w:b/>
          <w:bCs/>
          <w:color w:val="444444"/>
          <w:sz w:val="22"/>
          <w:szCs w:val="22"/>
        </w:rPr>
        <w:t xml:space="preserve">BNSS: </w:t>
      </w:r>
      <w:r>
        <w:rPr>
          <w:color w:val="444444"/>
          <w:sz w:val="22"/>
          <w:szCs w:val="22"/>
        </w:rPr>
        <w:t xml:space="preserve">the Bharatiya Nagarik Suraksha Sanhita, India's new criminal procedure code, which replaced the older Code of Criminal Procedure (CrPC) in 2023–24. Section 479 of the BNSS is the direct successor to Section 436A of the old CrPC and is the specific legal provision this project is built around.</w:t>
      </w:r>
    </w:p>
    <w:p>
      <w:pPr>
        <w:spacing w:after="160" w:line="300"/>
      </w:pPr>
      <w:r>
        <w:rPr>
          <w:b/>
          <w:bCs/>
          <w:color w:val="444444"/>
          <w:sz w:val="22"/>
          <w:szCs w:val="22"/>
        </w:rPr>
        <w:t xml:space="preserve">DLSA: </w:t>
      </w:r>
      <w:r>
        <w:rPr>
          <w:color w:val="444444"/>
          <w:sz w:val="22"/>
          <w:szCs w:val="22"/>
        </w:rPr>
        <w:t xml:space="preserve">District Legal Services Authority — the government body responsible for providing free legal aid to those who cannot afford it, including undertrial prisoners. Undertrial Review Committees (URCs) are official bodies, already established by law, tasked specifically with reviewing undertrial cases for release eligibility — but they are chronically under-resourced relative to their caseload.</w:t>
      </w:r>
    </w:p>
    <w:p>
      <w:pPr>
        <w:spacing w:after="160" w:line="300"/>
      </w:pPr>
      <w:r>
        <w:rPr>
          <w:color w:val="444444"/>
          <w:sz w:val="22"/>
          <w:szCs w:val="22"/>
        </w:rPr>
        <w:t xml:space="preserve">The core one-sentence problem statement the team has settled on is:</w:t>
      </w:r>
    </w:p>
    <w:p>
      <w:pPr>
        <w:pBdr>
          <w:left w:val="single" w:color="B08D57" w:sz="24" w:space="8"/>
        </w:pBdr>
        <w:spacing w:after="220" w:before="120"/>
        <w:ind w:left="400" w:right="400"/>
      </w:pPr>
      <w:r>
        <w:rPr>
          <w:i/>
          <w:iCs/>
          <w:color w:val="1F2A44"/>
          <w:sz w:val="22"/>
          <w:szCs w:val="22"/>
        </w:rPr>
        <w:t xml:space="preserve">Thousands of people in Indian jails have already legally earned the right to be released on bail — but remain incarcerated purely because no one has the staff bandwidth to find them, verify their file, and act on it.</w:t>
      </w:r>
    </w:p>
    <w:p>
      <w:pPr>
        <w:pStyle w:val="Heading2"/>
        <w:spacing w:after="160" w:before="360"/>
      </w:pPr>
      <w:r>
        <w:rPr>
          <w:b/>
          <w:bCs/>
          <w:color w:val="1F2A44"/>
          <w:sz w:val="26"/>
          <w:szCs w:val="26"/>
        </w:rPr>
        <w:t xml:space="preserve">2.2 Scale of the Problem — Verified Statistics</w:t>
      </w:r>
    </w:p>
    <w:p>
      <w:pPr>
        <w:spacing w:after="160" w:line="300"/>
      </w:pPr>
      <w:r>
        <w:rPr>
          <w:color w:val="444444"/>
          <w:sz w:val="22"/>
          <w:szCs w:val="22"/>
        </w:rPr>
        <w:t xml:space="preserve">All figures below are drawn from the National Crime Records Bureau's Prison Statistics India 2024 report and a December 2024 Ministry of Home Affairs reply in the Rajya Sabha, unless otherwise noted. These numbers are the evidentiary backbone of the problem statement and should be quoted directly and accurately.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60"/>
      </w:tblGrid>
      <w:tr>
        <w:trPr>
          <w:tblHeader/>
        </w:trPr>
        <w:tc>
          <w:tcPr>
            <w:tcW w:type="dxa" w:w="3400"/>
            <w:shd w:fill="1F2A44" w:val="clear"/>
            <w:tcMar>
              <w:top w:type="dxa" w:w="100"/>
              <w:left w:type="dxa" w:w="120"/>
              <w:bottom w:type="dxa" w:w="100"/>
              <w:right w:type="dxa" w:w="120"/>
            </w:tcMar>
          </w:tcPr>
          <w:p>
            <w:r>
              <w:rPr>
                <w:b/>
                <w:bCs/>
                <w:color w:val="FFFFFF"/>
                <w:sz w:val="20"/>
                <w:szCs w:val="20"/>
              </w:rPr>
              <w:t xml:space="preserve">Statistic</w:t>
            </w:r>
          </w:p>
        </w:tc>
        <w:tc>
          <w:tcPr>
            <w:tcW w:type="dxa" w:w="2400"/>
            <w:shd w:fill="1F2A44" w:val="clear"/>
            <w:tcMar>
              <w:top w:type="dxa" w:w="100"/>
              <w:left w:type="dxa" w:w="120"/>
              <w:bottom w:type="dxa" w:w="100"/>
              <w:right w:type="dxa" w:w="120"/>
            </w:tcMar>
          </w:tcPr>
          <w:p>
            <w:r>
              <w:rPr>
                <w:b/>
                <w:bCs/>
                <w:color w:val="FFFFFF"/>
                <w:sz w:val="20"/>
                <w:szCs w:val="20"/>
              </w:rPr>
              <w:t xml:space="preserve">Figure</w:t>
            </w:r>
          </w:p>
        </w:tc>
        <w:tc>
          <w:tcPr>
            <w:tcW w:type="dxa" w:w="3860"/>
            <w:shd w:fill="1F2A44" w:val="clear"/>
            <w:tcMar>
              <w:top w:type="dxa" w:w="100"/>
              <w:left w:type="dxa" w:w="120"/>
              <w:bottom w:type="dxa" w:w="100"/>
              <w:right w:type="dxa" w:w="120"/>
            </w:tcMar>
          </w:tcPr>
          <w:p>
            <w:r>
              <w:rPr>
                <w:b/>
                <w:bCs/>
                <w:color w:val="FFFFFF"/>
                <w:sz w:val="20"/>
                <w:szCs w:val="20"/>
              </w:rPr>
              <w:t xml:space="preserve">Detail / Source</w:t>
            </w:r>
          </w:p>
        </w:tc>
      </w:tr>
      <w:tr>
        <w:tc>
          <w:tcPr>
            <w:tcW w:type="dxa" w:w="3400"/>
            <w:tcMar>
              <w:top w:type="dxa" w:w="100"/>
              <w:left w:type="dxa" w:w="120"/>
              <w:bottom w:type="dxa" w:w="100"/>
              <w:right w:type="dxa" w:w="120"/>
            </w:tcMar>
          </w:tcPr>
          <w:p>
            <w:r>
              <w:rPr>
                <w:b w:val="false"/>
                <w:bCs w:val="false"/>
                <w:color w:val="444444"/>
                <w:sz w:val="20"/>
                <w:szCs w:val="20"/>
              </w:rPr>
              <w:t xml:space="preserve">Undertrials as share of India's prison population</w:t>
            </w:r>
          </w:p>
        </w:tc>
        <w:tc>
          <w:tcPr>
            <w:tcW w:type="dxa" w:w="2400"/>
            <w:tcMar>
              <w:top w:type="dxa" w:w="100"/>
              <w:left w:type="dxa" w:w="120"/>
              <w:bottom w:type="dxa" w:w="100"/>
              <w:right w:type="dxa" w:w="120"/>
            </w:tcMar>
          </w:tcPr>
          <w:p>
            <w:r>
              <w:rPr>
                <w:b w:val="false"/>
                <w:bCs w:val="false"/>
                <w:color w:val="444444"/>
                <w:sz w:val="20"/>
                <w:szCs w:val="20"/>
              </w:rPr>
              <w:t xml:space="preserve">73%</w:t>
            </w:r>
          </w:p>
        </w:tc>
        <w:tc>
          <w:tcPr>
            <w:tcW w:type="dxa" w:w="3860"/>
            <w:tcMar>
              <w:top w:type="dxa" w:w="100"/>
              <w:left w:type="dxa" w:w="120"/>
              <w:bottom w:type="dxa" w:w="100"/>
              <w:right w:type="dxa" w:w="120"/>
            </w:tcMar>
          </w:tcPr>
          <w:p>
            <w:r>
              <w:rPr>
                <w:b w:val="false"/>
                <w:bCs w:val="false"/>
                <w:color w:val="444444"/>
                <w:sz w:val="20"/>
                <w:szCs w:val="20"/>
              </w:rPr>
              <w:t xml:space="preserve">NCRB Prison Statistics India 2024</w:t>
            </w:r>
          </w:p>
        </w:tc>
      </w:tr>
      <w:tr>
        <w:tc>
          <w:tcPr>
            <w:tcW w:type="dxa" w:w="3400"/>
            <w:shd w:fill="F2F2F2" w:val="clear"/>
            <w:tcMar>
              <w:top w:type="dxa" w:w="100"/>
              <w:left w:type="dxa" w:w="120"/>
              <w:bottom w:type="dxa" w:w="100"/>
              <w:right w:type="dxa" w:w="120"/>
            </w:tcMar>
          </w:tcPr>
          <w:p>
            <w:r>
              <w:rPr>
                <w:b w:val="false"/>
                <w:bCs w:val="false"/>
                <w:color w:val="444444"/>
                <w:sz w:val="20"/>
                <w:szCs w:val="20"/>
              </w:rPr>
              <w:t xml:space="preserve">Total undertrial prisoners nationally (end of 2024)</w:t>
            </w:r>
          </w:p>
        </w:tc>
        <w:tc>
          <w:tcPr>
            <w:tcW w:type="dxa" w:w="2400"/>
            <w:shd w:fill="F2F2F2" w:val="clear"/>
            <w:tcMar>
              <w:top w:type="dxa" w:w="100"/>
              <w:left w:type="dxa" w:w="120"/>
              <w:bottom w:type="dxa" w:w="100"/>
              <w:right w:type="dxa" w:w="120"/>
            </w:tcMar>
          </w:tcPr>
          <w:p>
            <w:r>
              <w:rPr>
                <w:b w:val="false"/>
                <w:bCs w:val="false"/>
                <w:color w:val="444444"/>
                <w:sz w:val="20"/>
                <w:szCs w:val="20"/>
              </w:rPr>
              <w:t xml:space="preserve">371,440</w:t>
            </w:r>
          </w:p>
        </w:tc>
        <w:tc>
          <w:tcPr>
            <w:tcW w:type="dxa" w:w="3860"/>
            <w:shd w:fill="F2F2F2" w:val="clear"/>
            <w:tcMar>
              <w:top w:type="dxa" w:w="100"/>
              <w:left w:type="dxa" w:w="120"/>
              <w:bottom w:type="dxa" w:w="100"/>
              <w:right w:type="dxa" w:w="120"/>
            </w:tcMar>
          </w:tcPr>
          <w:p>
            <w:r>
              <w:rPr>
                <w:b w:val="false"/>
                <w:bCs w:val="false"/>
                <w:color w:val="444444"/>
                <w:sz w:val="20"/>
                <w:szCs w:val="20"/>
              </w:rPr>
              <w:t xml:space="preserve">NCRB Prison Statistics India 2024</w:t>
            </w:r>
          </w:p>
        </w:tc>
      </w:tr>
      <w:tr>
        <w:tc>
          <w:tcPr>
            <w:tcW w:type="dxa" w:w="3400"/>
            <w:tcMar>
              <w:top w:type="dxa" w:w="100"/>
              <w:left w:type="dxa" w:w="120"/>
              <w:bottom w:type="dxa" w:w="100"/>
              <w:right w:type="dxa" w:w="120"/>
            </w:tcMar>
          </w:tcPr>
          <w:p>
            <w:r>
              <w:rPr>
                <w:b w:val="false"/>
                <w:bCs w:val="false"/>
                <w:color w:val="444444"/>
                <w:sz w:val="20"/>
                <w:szCs w:val="20"/>
              </w:rPr>
              <w:t xml:space="preserve">Share of undertrials from SC/ST/OBC communities</w:t>
            </w:r>
          </w:p>
        </w:tc>
        <w:tc>
          <w:tcPr>
            <w:tcW w:type="dxa" w:w="2400"/>
            <w:tcMar>
              <w:top w:type="dxa" w:w="100"/>
              <w:left w:type="dxa" w:w="120"/>
              <w:bottom w:type="dxa" w:w="100"/>
              <w:right w:type="dxa" w:w="120"/>
            </w:tcMar>
          </w:tcPr>
          <w:p>
            <w:r>
              <w:rPr>
                <w:b w:val="false"/>
                <w:bCs w:val="false"/>
                <w:color w:val="444444"/>
                <w:sz w:val="20"/>
                <w:szCs w:val="20"/>
              </w:rPr>
              <w:t xml:space="preserve">~67.3% (“two in three”)</w:t>
            </w:r>
          </w:p>
        </w:tc>
        <w:tc>
          <w:tcPr>
            <w:tcW w:type="dxa" w:w="3860"/>
            <w:tcMar>
              <w:top w:type="dxa" w:w="100"/>
              <w:left w:type="dxa" w:w="120"/>
              <w:bottom w:type="dxa" w:w="100"/>
              <w:right w:type="dxa" w:w="120"/>
            </w:tcMar>
          </w:tcPr>
          <w:p>
            <w:r>
              <w:rPr>
                <w:b w:val="false"/>
                <w:bCs w:val="false"/>
                <w:color w:val="444444"/>
                <w:sz w:val="20"/>
                <w:szCs w:val="20"/>
              </w:rPr>
              <w:t xml:space="preserve">Of the ~82% of undertrials for whom caste data was reported</w:t>
            </w:r>
          </w:p>
        </w:tc>
      </w:tr>
      <w:tr>
        <w:tc>
          <w:tcPr>
            <w:tcW w:type="dxa" w:w="3400"/>
            <w:shd w:fill="F2F2F2" w:val="clear"/>
            <w:tcMar>
              <w:top w:type="dxa" w:w="100"/>
              <w:left w:type="dxa" w:w="120"/>
              <w:bottom w:type="dxa" w:w="100"/>
              <w:right w:type="dxa" w:w="120"/>
            </w:tcMar>
          </w:tcPr>
          <w:p>
            <w:r>
              <w:rPr>
                <w:b w:val="false"/>
                <w:bCs w:val="false"/>
                <w:color w:val="444444"/>
                <w:sz w:val="20"/>
                <w:szCs w:val="20"/>
              </w:rPr>
              <w:t xml:space="preserve">Undertrials in custody 3+ years without conviction</w:t>
            </w:r>
          </w:p>
        </w:tc>
        <w:tc>
          <w:tcPr>
            <w:tcW w:type="dxa" w:w="2400"/>
            <w:shd w:fill="F2F2F2" w:val="clear"/>
            <w:tcMar>
              <w:top w:type="dxa" w:w="100"/>
              <w:left w:type="dxa" w:w="120"/>
              <w:bottom w:type="dxa" w:w="100"/>
              <w:right w:type="dxa" w:w="120"/>
            </w:tcMar>
          </w:tcPr>
          <w:p>
            <w:r>
              <w:rPr>
                <w:b w:val="false"/>
                <w:bCs w:val="false"/>
                <w:color w:val="444444"/>
                <w:sz w:val="20"/>
                <w:szCs w:val="20"/>
              </w:rPr>
              <w:t xml:space="preserve">~30,000 (8.1% of undertrials)</w:t>
            </w:r>
          </w:p>
        </w:tc>
        <w:tc>
          <w:tcPr>
            <w:tcW w:type="dxa" w:w="3860"/>
            <w:shd w:fill="F2F2F2" w:val="clear"/>
            <w:tcMar>
              <w:top w:type="dxa" w:w="100"/>
              <w:left w:type="dxa" w:w="120"/>
              <w:bottom w:type="dxa" w:w="100"/>
              <w:right w:type="dxa" w:w="120"/>
            </w:tcMar>
          </w:tcPr>
          <w:p>
            <w:r>
              <w:rPr>
                <w:b w:val="false"/>
                <w:bCs w:val="false"/>
                <w:color w:val="444444"/>
                <w:sz w:val="20"/>
                <w:szCs w:val="20"/>
              </w:rPr>
              <w:t xml:space="preserve">Up from 2.5% in 1998 — the problem is worsening over time</w:t>
            </w:r>
          </w:p>
        </w:tc>
      </w:tr>
      <w:tr>
        <w:tc>
          <w:tcPr>
            <w:tcW w:type="dxa" w:w="3400"/>
            <w:tcMar>
              <w:top w:type="dxa" w:w="100"/>
              <w:left w:type="dxa" w:w="120"/>
              <w:bottom w:type="dxa" w:w="100"/>
              <w:right w:type="dxa" w:w="120"/>
            </w:tcMar>
          </w:tcPr>
          <w:p>
            <w:r>
              <w:rPr>
                <w:b w:val="false"/>
                <w:bCs w:val="false"/>
                <w:color w:val="444444"/>
                <w:sz w:val="20"/>
                <w:szCs w:val="20"/>
              </w:rPr>
              <w:t xml:space="preserve">Of those, in custody 5+ years</w:t>
            </w:r>
          </w:p>
        </w:tc>
        <w:tc>
          <w:tcPr>
            <w:tcW w:type="dxa" w:w="2400"/>
            <w:tcMar>
              <w:top w:type="dxa" w:w="100"/>
              <w:left w:type="dxa" w:w="120"/>
              <w:bottom w:type="dxa" w:w="100"/>
              <w:right w:type="dxa" w:w="120"/>
            </w:tcMar>
          </w:tcPr>
          <w:p>
            <w:r>
              <w:rPr>
                <w:b w:val="false"/>
                <w:bCs w:val="false"/>
                <w:color w:val="444444"/>
                <w:sz w:val="20"/>
                <w:szCs w:val="20"/>
              </w:rPr>
              <w:t xml:space="preserve">9,000+ people</w:t>
            </w:r>
          </w:p>
        </w:tc>
        <w:tc>
          <w:tcPr>
            <w:tcW w:type="dxa" w:w="3860"/>
            <w:tcMar>
              <w:top w:type="dxa" w:w="100"/>
              <w:left w:type="dxa" w:w="120"/>
              <w:bottom w:type="dxa" w:w="100"/>
              <w:right w:type="dxa" w:w="120"/>
            </w:tcMar>
          </w:tcPr>
          <w:p>
            <w:r>
              <w:rPr>
                <w:b w:val="false"/>
                <w:bCs w:val="false"/>
                <w:color w:val="444444"/>
                <w:sz w:val="20"/>
                <w:szCs w:val="20"/>
              </w:rPr>
              <w:t xml:space="preserve">NCRB Prison Statistics India 2024</w:t>
            </w:r>
          </w:p>
        </w:tc>
      </w:tr>
      <w:tr>
        <w:tc>
          <w:tcPr>
            <w:tcW w:type="dxa" w:w="3400"/>
            <w:shd w:fill="F2F2F2" w:val="clear"/>
            <w:tcMar>
              <w:top w:type="dxa" w:w="100"/>
              <w:left w:type="dxa" w:w="120"/>
              <w:bottom w:type="dxa" w:w="100"/>
              <w:right w:type="dxa" w:w="120"/>
            </w:tcMar>
          </w:tcPr>
          <w:p>
            <w:r>
              <w:rPr>
                <w:b w:val="false"/>
                <w:bCs w:val="false"/>
                <w:color w:val="444444"/>
                <w:sz w:val="20"/>
                <w:szCs w:val="20"/>
              </w:rPr>
              <w:t xml:space="preserve">National prison occupancy rate</w:t>
            </w:r>
          </w:p>
        </w:tc>
        <w:tc>
          <w:tcPr>
            <w:tcW w:type="dxa" w:w="2400"/>
            <w:shd w:fill="F2F2F2" w:val="clear"/>
            <w:tcMar>
              <w:top w:type="dxa" w:w="100"/>
              <w:left w:type="dxa" w:w="120"/>
              <w:bottom w:type="dxa" w:w="100"/>
              <w:right w:type="dxa" w:w="120"/>
            </w:tcMar>
          </w:tcPr>
          <w:p>
            <w:r>
              <w:rPr>
                <w:b w:val="false"/>
                <w:bCs w:val="false"/>
                <w:color w:val="444444"/>
                <w:sz w:val="20"/>
                <w:szCs w:val="20"/>
              </w:rPr>
              <w:t xml:space="preserve">112.7% of designed capacity</w:t>
            </w:r>
          </w:p>
        </w:tc>
        <w:tc>
          <w:tcPr>
            <w:tcW w:type="dxa" w:w="3860"/>
            <w:shd w:fill="F2F2F2" w:val="clear"/>
            <w:tcMar>
              <w:top w:type="dxa" w:w="100"/>
              <w:left w:type="dxa" w:w="120"/>
              <w:bottom w:type="dxa" w:w="100"/>
              <w:right w:type="dxa" w:w="120"/>
            </w:tcMar>
          </w:tcPr>
          <w:p>
            <w:r>
              <w:rPr>
                <w:b w:val="false"/>
                <w:bCs w:val="false"/>
                <w:color w:val="444444"/>
                <w:sz w:val="20"/>
                <w:szCs w:val="20"/>
              </w:rPr>
              <w:t xml:space="preserve">A decade-low figure, but still chronic overcrowding</w:t>
            </w:r>
          </w:p>
        </w:tc>
      </w:tr>
      <w:tr>
        <w:tc>
          <w:tcPr>
            <w:tcW w:type="dxa" w:w="3400"/>
            <w:tcMar>
              <w:top w:type="dxa" w:w="100"/>
              <w:left w:type="dxa" w:w="120"/>
              <w:bottom w:type="dxa" w:w="100"/>
              <w:right w:type="dxa" w:w="120"/>
            </w:tcMar>
          </w:tcPr>
          <w:p>
            <w:r>
              <w:rPr>
                <w:b w:val="false"/>
                <w:bCs w:val="false"/>
                <w:color w:val="444444"/>
                <w:sz w:val="20"/>
                <w:szCs w:val="20"/>
              </w:rPr>
              <w:t xml:space="preserve">Sanctioned jail staff strength (national)</w:t>
            </w:r>
          </w:p>
        </w:tc>
        <w:tc>
          <w:tcPr>
            <w:tcW w:type="dxa" w:w="2400"/>
            <w:tcMar>
              <w:top w:type="dxa" w:w="100"/>
              <w:left w:type="dxa" w:w="120"/>
              <w:bottom w:type="dxa" w:w="100"/>
              <w:right w:type="dxa" w:w="120"/>
            </w:tcMar>
          </w:tcPr>
          <w:p>
            <w:r>
              <w:rPr>
                <w:b w:val="false"/>
                <w:bCs w:val="false"/>
                <w:color w:val="444444"/>
                <w:sz w:val="20"/>
                <w:szCs w:val="20"/>
              </w:rPr>
              <w:t xml:space="preserve">99,758</w:t>
            </w:r>
          </w:p>
        </w:tc>
        <w:tc>
          <w:tcPr>
            <w:tcW w:type="dxa" w:w="3860"/>
            <w:tcMar>
              <w:top w:type="dxa" w:w="100"/>
              <w:left w:type="dxa" w:w="120"/>
              <w:bottom w:type="dxa" w:w="100"/>
              <w:right w:type="dxa" w:w="120"/>
            </w:tcMar>
          </w:tcPr>
          <w:p>
            <w:r>
              <w:rPr>
                <w:b w:val="false"/>
                <w:bCs w:val="false"/>
                <w:color w:val="444444"/>
                <w:sz w:val="20"/>
                <w:szCs w:val="20"/>
              </w:rPr>
              <w:t xml:space="preserve">Ministry of Home Affairs data</w:t>
            </w:r>
          </w:p>
        </w:tc>
      </w:tr>
      <w:tr>
        <w:tc>
          <w:tcPr>
            <w:tcW w:type="dxa" w:w="3400"/>
            <w:shd w:fill="F2F2F2" w:val="clear"/>
            <w:tcMar>
              <w:top w:type="dxa" w:w="100"/>
              <w:left w:type="dxa" w:w="120"/>
              <w:bottom w:type="dxa" w:w="100"/>
              <w:right w:type="dxa" w:w="120"/>
            </w:tcMar>
          </w:tcPr>
          <w:p>
            <w:r>
              <w:rPr>
                <w:b w:val="false"/>
                <w:bCs w:val="false"/>
                <w:color w:val="444444"/>
                <w:sz w:val="20"/>
                <w:szCs w:val="20"/>
              </w:rPr>
              <w:t xml:space="preserve">Actual jail staff strength (national)</w:t>
            </w:r>
          </w:p>
        </w:tc>
        <w:tc>
          <w:tcPr>
            <w:tcW w:type="dxa" w:w="2400"/>
            <w:shd w:fill="F2F2F2" w:val="clear"/>
            <w:tcMar>
              <w:top w:type="dxa" w:w="100"/>
              <w:left w:type="dxa" w:w="120"/>
              <w:bottom w:type="dxa" w:w="100"/>
              <w:right w:type="dxa" w:w="120"/>
            </w:tcMar>
          </w:tcPr>
          <w:p>
            <w:r>
              <w:rPr>
                <w:b w:val="false"/>
                <w:bCs w:val="false"/>
                <w:color w:val="444444"/>
                <w:sz w:val="20"/>
                <w:szCs w:val="20"/>
              </w:rPr>
              <w:t xml:space="preserve">63,004 (≈63% of sanctioned)</w:t>
            </w:r>
          </w:p>
        </w:tc>
        <w:tc>
          <w:tcPr>
            <w:tcW w:type="dxa" w:w="3860"/>
            <w:shd w:fill="F2F2F2" w:val="clear"/>
            <w:tcMar>
              <w:top w:type="dxa" w:w="100"/>
              <w:left w:type="dxa" w:w="120"/>
              <w:bottom w:type="dxa" w:w="100"/>
              <w:right w:type="dxa" w:w="120"/>
            </w:tcMar>
          </w:tcPr>
          <w:p>
            <w:r>
              <w:rPr>
                <w:b w:val="false"/>
                <w:bCs w:val="false"/>
                <w:color w:val="444444"/>
                <w:sz w:val="20"/>
                <w:szCs w:val="20"/>
              </w:rPr>
              <w:t xml:space="preserve">Direct operational bottleneck behind the whole problem</w:t>
            </w:r>
          </w:p>
        </w:tc>
      </w:tr>
      <w:tr>
        <w:tc>
          <w:tcPr>
            <w:tcW w:type="dxa" w:w="3400"/>
            <w:tcMar>
              <w:top w:type="dxa" w:w="100"/>
              <w:left w:type="dxa" w:w="120"/>
              <w:bottom w:type="dxa" w:w="100"/>
              <w:right w:type="dxa" w:w="120"/>
            </w:tcMar>
          </w:tcPr>
          <w:p>
            <w:r>
              <w:rPr>
                <w:b w:val="false"/>
                <w:bCs w:val="false"/>
                <w:color w:val="444444"/>
                <w:sz w:val="20"/>
                <w:szCs w:val="20"/>
              </w:rPr>
              <w:t xml:space="preserve">States with highest undertrial share</w:t>
            </w:r>
          </w:p>
        </w:tc>
        <w:tc>
          <w:tcPr>
            <w:tcW w:type="dxa" w:w="2400"/>
            <w:tcMar>
              <w:top w:type="dxa" w:w="100"/>
              <w:left w:type="dxa" w:w="120"/>
              <w:bottom w:type="dxa" w:w="100"/>
              <w:right w:type="dxa" w:w="120"/>
            </w:tcMar>
          </w:tcPr>
          <w:p>
            <w:r>
              <w:rPr>
                <w:b w:val="false"/>
                <w:bCs w:val="false"/>
                <w:color w:val="444444"/>
                <w:sz w:val="20"/>
                <w:szCs w:val="20"/>
              </w:rPr>
              <w:t xml:space="preserve">Bihar 87.2%, Delhi 88%, J&amp;K 84.6%, Maharashtra 80.8%</w:t>
            </w:r>
          </w:p>
        </w:tc>
        <w:tc>
          <w:tcPr>
            <w:tcW w:type="dxa" w:w="3860"/>
            <w:tcMar>
              <w:top w:type="dxa" w:w="100"/>
              <w:left w:type="dxa" w:w="120"/>
              <w:bottom w:type="dxa" w:w="100"/>
              <w:right w:type="dxa" w:w="120"/>
            </w:tcMar>
          </w:tcPr>
          <w:p>
            <w:r>
              <w:rPr>
                <w:b w:val="false"/>
                <w:bCs w:val="false"/>
                <w:color w:val="444444"/>
                <w:sz w:val="20"/>
                <w:szCs w:val="20"/>
              </w:rPr>
              <w:t xml:space="preserve">Demonstrates this is a national, not regional, problem</w:t>
            </w:r>
          </w:p>
        </w:tc>
      </w:tr>
    </w:tbl>
    <w:p>
      <w:pPr>
        <w:spacing w:after="160" w:line="300"/>
      </w:pPr>
      <w:r>
        <w:rPr>
          <w:color w:val="444444"/>
          <w:sz w:val="22"/>
          <w:szCs w:val="22"/>
        </w:rPr>
        <w:t xml:space="preserve"/>
      </w:r>
    </w:p>
    <w:p>
      <w:pPr>
        <w:spacing w:after="160" w:line="300"/>
      </w:pPr>
      <w:r>
        <w:rPr>
          <w:color w:val="444444"/>
          <w:sz w:val="22"/>
          <w:szCs w:val="22"/>
        </w:rPr>
        <w:t xml:space="preserve">Why these numbers matter together: nearly three out of every four people currently in an Indian prison have not been convicted of any crime. A meaningful share of them have already served enough time in custody to legally qualify for bail under existing law — yet the system responsible for catching and processing that (jail staff and legal-aid lawyers) is operating at roughly two-thirds of its sanctioned strength nationwide.</w:t>
      </w:r>
    </w:p>
    <w:p>
      <w:pPr>
        <w:pStyle w:val="Heading2"/>
        <w:spacing w:after="160" w:before="360"/>
      </w:pPr>
      <w:r>
        <w:rPr>
          <w:b/>
          <w:bCs/>
          <w:color w:val="1F2A44"/>
          <w:sz w:val="26"/>
          <w:szCs w:val="26"/>
        </w:rPr>
        <w:t xml:space="preserve">2.3 The Legal Mechanism — Section 479 BNSS</w:t>
      </w:r>
    </w:p>
    <w:p>
      <w:pPr>
        <w:spacing w:after="160" w:line="300"/>
      </w:pPr>
      <w:r>
        <w:rPr>
          <w:color w:val="444444"/>
          <w:sz w:val="22"/>
          <w:szCs w:val="22"/>
        </w:rPr>
        <w:t xml:space="preserve">Section 479 of the BNSS (successor to Section 436A of the CrPC) is the specific statutory provision that already grants the right this project is built to help enforce. In plain language, the rule is:</w:t>
      </w:r>
    </w:p>
    <w:p>
      <w:pPr>
        <w:pBdr>
          <w:left w:val="single" w:color="B08D57" w:sz="24" w:space="8"/>
        </w:pBdr>
        <w:spacing w:after="220" w:before="120"/>
        <w:ind w:left="400" w:right="400"/>
      </w:pPr>
      <w:r>
        <w:rPr>
          <w:i/>
          <w:iCs/>
          <w:color w:val="1F2A44"/>
          <w:sz w:val="22"/>
          <w:szCs w:val="22"/>
        </w:rPr>
        <w:t xml:space="preserve">If an undertrial prisoner has already spent roughly half of the maximum possible sentence for the offence they are charged with — while merely awaiting trial — they become legally entitled to release on bail. For first-time offenders with no prior convictions, this threshold is lower: one-third of the maximum sentence (per Ministry of Home Affairs clarification).</w:t>
      </w:r>
    </w:p>
    <w:p>
      <w:pPr>
        <w:pStyle w:val="Heading3"/>
        <w:spacing w:after="120" w:before="240"/>
      </w:pPr>
      <w:r>
        <w:rPr>
          <w:b/>
          <w:bCs/>
          <w:color w:val="B08D57"/>
          <w:sz w:val="22"/>
          <w:szCs w:val="22"/>
        </w:rPr>
        <w:t xml:space="preserve">Worked example</w:t>
      </w:r>
    </w:p>
    <w:p>
      <w:pPr>
        <w:pStyle w:val="ListParagraph"/>
        <w:numPr>
          <w:ilvl w:val="0"/>
          <w:numId w:val="2"/>
        </w:numPr>
        <w:spacing w:after="80" w:line="280"/>
      </w:pPr>
      <w:r>
        <w:rPr>
          <w:color w:val="444444"/>
          <w:sz w:val="22"/>
          <w:szCs w:val="22"/>
        </w:rPr>
        <w:t xml:space="preserve">A person is charged with an offence carrying a maximum sentence of 10 years.</w:t>
      </w:r>
    </w:p>
    <w:p>
      <w:pPr>
        <w:pStyle w:val="ListParagraph"/>
        <w:numPr>
          <w:ilvl w:val="0"/>
          <w:numId w:val="2"/>
        </w:numPr>
        <w:spacing w:after="80" w:line="280"/>
      </w:pPr>
      <w:r>
        <w:rPr>
          <w:color w:val="444444"/>
          <w:sz w:val="22"/>
          <w:szCs w:val="22"/>
        </w:rPr>
        <w:t xml:space="preserve">They have already spent 5 years in jail awaiting trial — not yet convicted of anything.</w:t>
      </w:r>
    </w:p>
    <w:p>
      <w:pPr>
        <w:pStyle w:val="ListParagraph"/>
        <w:numPr>
          <w:ilvl w:val="0"/>
          <w:numId w:val="2"/>
        </w:numPr>
        <w:spacing w:after="80" w:line="280"/>
      </w:pPr>
      <w:r>
        <w:rPr>
          <w:color w:val="444444"/>
          <w:sz w:val="22"/>
          <w:szCs w:val="22"/>
        </w:rPr>
        <w:t xml:space="preserve">Since 5 years equals half of 10 years, the law says: release them on bail now, while the trial continues.</w:t>
      </w:r>
    </w:p>
    <w:p>
      <w:pPr>
        <w:spacing w:after="160" w:line="300"/>
      </w:pPr>
      <w:r>
        <w:rPr>
          <w:color w:val="444444"/>
          <w:sz w:val="22"/>
          <w:szCs w:val="22"/>
        </w:rPr>
        <w:t xml:space="preserve">Why this matters for the design of the solution: this is pure arithmetic — custody duration compared against a statutory threshold. It is not a judgment call, a risk prediction, or a discretionary decision. This is precisely why the eligibility check at the core of this project can be safely automated as a deterministic rule rather than left to an AI model's judgment — a point that should be emphasised repeatedly when explaining the solution to anyone, including judges, mentors, or future collaborators.</w:t>
      </w:r>
    </w:p>
    <w:p>
      <w:pPr>
        <w:pStyle w:val="Heading2"/>
        <w:spacing w:after="160" w:before="360"/>
      </w:pPr>
      <w:r>
        <w:rPr>
          <w:b/>
          <w:bCs/>
          <w:color w:val="1F2A44"/>
          <w:sz w:val="26"/>
          <w:szCs w:val="26"/>
        </w:rPr>
        <w:t xml:space="preserve">2.4 Root Causes — Why the Law Goes Unused</w:t>
      </w:r>
    </w:p>
    <w:p>
      <w:pPr>
        <w:spacing w:after="160" w:line="300"/>
      </w:pPr>
      <w:r>
        <w:rPr>
          <w:color w:val="444444"/>
          <w:sz w:val="22"/>
          <w:szCs w:val="22"/>
        </w:rPr>
        <w:t xml:space="preserve">Research and team discussion identified the following distinct root causes. A complete solution — or a complete understanding of the problem — needs to address all of them, not just the most obvious one (staff shortage).</w:t>
      </w:r>
    </w:p>
    <w:p>
      <w:pPr>
        <w:pStyle w:val="Heading3"/>
        <w:spacing w:after="120" w:before="240"/>
      </w:pPr>
      <w:r>
        <w:rPr>
          <w:b/>
          <w:bCs/>
          <w:color w:val="B08D57"/>
          <w:sz w:val="22"/>
          <w:szCs w:val="22"/>
        </w:rPr>
        <w:t xml:space="preserve">i. Understaffed jails</w:t>
      </w:r>
    </w:p>
    <w:p>
      <w:pPr>
        <w:spacing w:after="160" w:line="300"/>
      </w:pPr>
      <w:r>
        <w:rPr>
          <w:color w:val="444444"/>
          <w:sz w:val="22"/>
          <w:szCs w:val="22"/>
        </w:rPr>
        <w:t xml:space="preserve">Actual jail staff nationally (63,004) is only about 63% of the sanctioned strength (99,758). There is simply not enough human bandwidth to review case files at the volume required.</w:t>
      </w:r>
    </w:p>
    <w:p>
      <w:pPr>
        <w:pStyle w:val="Heading3"/>
        <w:spacing w:after="120" w:before="240"/>
      </w:pPr>
      <w:r>
        <w:rPr>
          <w:b/>
          <w:bCs/>
          <w:color w:val="B08D57"/>
          <w:sz w:val="22"/>
          <w:szCs w:val="22"/>
        </w:rPr>
        <w:t xml:space="preserve">ii. Overloaded and sometimes under-resourced legal-aid lawyers</w:t>
      </w:r>
    </w:p>
    <w:p>
      <w:pPr>
        <w:spacing w:after="160" w:line="300"/>
      </w:pPr>
      <w:r>
        <w:rPr>
          <w:color w:val="444444"/>
          <w:sz w:val="22"/>
          <w:szCs w:val="22"/>
        </w:rPr>
        <w:t xml:space="preserve">Government-appointed legal-aid lawyers, who represent undertrials unable to afford private counsel, are typically handling far too many cases each to manually audit every file for bail eligibility. In addition, the team's own research and informal conversations surfaced two further, less commonly discussed dimensions of this: many lawyers are simply reluctant to take up undertrial bail cases, and bail applications are usually moved before the lowest-tier civil courts, where practicing lawyers often have comparatively less experience and specialised knowledge — meaning clients frequently do not get the quality of representation their case may need.</w:t>
      </w:r>
    </w:p>
    <w:p>
      <w:pPr>
        <w:pStyle w:val="Heading3"/>
        <w:spacing w:after="120" w:before="240"/>
      </w:pPr>
      <w:r>
        <w:rPr>
          <w:b/>
          <w:bCs/>
          <w:color w:val="B08D57"/>
          <w:sz w:val="22"/>
          <w:szCs w:val="22"/>
        </w:rPr>
        <w:t xml:space="preserve">iii. Incomplete, scattered records</w:t>
      </w:r>
    </w:p>
    <w:p>
      <w:pPr>
        <w:spacing w:after="160" w:line="300"/>
      </w:pPr>
      <w:r>
        <w:rPr>
          <w:color w:val="444444"/>
          <w:sz w:val="22"/>
          <w:szCs w:val="22"/>
        </w:rPr>
        <w:t xml:space="preserve">Some case files are digitised through government systems such as e-Prisons and eCourts, but a large share still exist only on paper, spread across different state-level systems with no unified format. Even a motivated reviewer may not have all the documents needed for a decision (remand orders, charge sheets, prior bail orders) collected in one place.</w:t>
      </w:r>
    </w:p>
    <w:p>
      <w:pPr>
        <w:pStyle w:val="Heading3"/>
        <w:spacing w:after="120" w:before="240"/>
      </w:pPr>
      <w:r>
        <w:rPr>
          <w:b/>
          <w:bCs/>
          <w:color w:val="B08D57"/>
          <w:sz w:val="22"/>
          <w:szCs w:val="22"/>
        </w:rPr>
        <w:t xml:space="preserve">iv. No post-filing tracking</w:t>
      </w:r>
    </w:p>
    <w:p>
      <w:pPr>
        <w:spacing w:after="160" w:line="300"/>
      </w:pPr>
      <w:r>
        <w:rPr>
          <w:color w:val="444444"/>
          <w:sz w:val="22"/>
          <w:szCs w:val="22"/>
        </w:rPr>
        <w:t xml:space="preserve">Even when a bail application is filed, there is often no mechanism to follow up. Cases can sit in a court queue for months with no one actively chasing a hearing date or an order. The team's research additionally found that courts are frequently accommodating when a prosecutor requests a passover or a later date, which can push the next hearing out by several months due to case overload — directly extending the time an eligible person spends in custody.</w:t>
      </w:r>
    </w:p>
    <w:p>
      <w:pPr>
        <w:pStyle w:val="Heading3"/>
        <w:spacing w:after="120" w:before="240"/>
      </w:pPr>
      <w:r>
        <w:rPr>
          <w:b/>
          <w:bCs/>
          <w:color w:val="B08D57"/>
          <w:sz w:val="22"/>
          <w:szCs w:val="22"/>
        </w:rPr>
        <w:t xml:space="preserve">The analogy the team uses to explain this simply</w:t>
      </w:r>
    </w:p>
    <w:p>
      <w:pPr>
        <w:spacing w:after="160" w:line="300"/>
      </w:pPr>
      <w:r>
        <w:rPr>
          <w:color w:val="444444"/>
          <w:sz w:val="22"/>
          <w:szCs w:val="22"/>
        </w:rPr>
        <w:t xml:space="preserve">Imagine a hospital rule that says: anyone who has been waiting more than four hours is automatically moved to the front of the line. The rule itself is fine — but if no one is actually watching the clock for each patient, the rule never gets enforced in practice. That is what is happening here, at the scale of hundreds of thousands of case files across the country.</w:t>
      </w:r>
    </w:p>
    <w:p>
      <w:pPr>
        <w:pStyle w:val="Heading2"/>
        <w:spacing w:after="160" w:before="360"/>
      </w:pPr>
      <w:r>
        <w:rPr>
          <w:b/>
          <w:bCs/>
          <w:color w:val="1F2A44"/>
          <w:sz w:val="26"/>
          <w:szCs w:val="26"/>
        </w:rPr>
        <w:t xml:space="preserve">2.5 Human and State Cost</w:t>
      </w:r>
    </w:p>
    <w:p>
      <w:pPr>
        <w:pStyle w:val="ListParagraph"/>
        <w:numPr>
          <w:ilvl w:val="0"/>
          <w:numId w:val="2"/>
        </w:numPr>
        <w:spacing w:after="80" w:line="280"/>
      </w:pPr>
      <w:r>
        <w:rPr>
          <w:color w:val="444444"/>
          <w:sz w:val="22"/>
          <w:szCs w:val="22"/>
        </w:rPr>
        <w:t xml:space="preserve">To the state: housing, feeding, and guarding someone who is legally entitled to be released on bail costs money every single day — an avoidable custodial cost.</w:t>
      </w:r>
    </w:p>
    <w:p>
      <w:pPr>
        <w:pStyle w:val="ListParagraph"/>
        <w:numPr>
          <w:ilvl w:val="0"/>
          <w:numId w:val="2"/>
        </w:numPr>
        <w:spacing w:after="80" w:line="280"/>
      </w:pPr>
      <w:r>
        <w:rPr>
          <w:color w:val="444444"/>
          <w:sz w:val="22"/>
          <w:szCs w:val="22"/>
        </w:rPr>
        <w:t xml:space="preserve">To families: the incarcerated person is very often an income earner for their household. Every additional day in custody can push a family further into financial hardship.</w:t>
      </w:r>
    </w:p>
    <w:p>
      <w:pPr>
        <w:pStyle w:val="ListParagraph"/>
        <w:numPr>
          <w:ilvl w:val="0"/>
          <w:numId w:val="2"/>
        </w:numPr>
        <w:spacing w:after="80" w:line="280"/>
      </w:pPr>
      <w:r>
        <w:rPr>
          <w:color w:val="444444"/>
          <w:sz w:val="22"/>
          <w:szCs w:val="22"/>
        </w:rPr>
        <w:t xml:space="preserve">To the individual: lost years, lost employment prospects, and psychological harm — despite never having been convicted of any crime.</w:t>
      </w:r>
    </w:p>
    <w:p>
      <w:pPr>
        <w:pStyle w:val="ListParagraph"/>
        <w:numPr>
          <w:ilvl w:val="0"/>
          <w:numId w:val="2"/>
        </w:numPr>
        <w:spacing w:after="80" w:line="280"/>
      </w:pPr>
      <w:r>
        <w:rPr>
          <w:color w:val="444444"/>
          <w:sz w:val="22"/>
          <w:szCs w:val="22"/>
        </w:rPr>
        <w:t xml:space="preserve">To the system as a whole: directly contributes to the 112.7% national prison overcrowding figure, straining every other part of the corrections system.</w:t>
      </w:r>
    </w:p>
    <w:p>
      <w:pPr>
        <w:pStyle w:val="Heading2"/>
        <w:spacing w:after="160" w:before="360"/>
      </w:pPr>
      <w:r>
        <w:rPr>
          <w:b/>
          <w:bCs/>
          <w:color w:val="1F2A44"/>
          <w:sz w:val="26"/>
          <w:szCs w:val="26"/>
        </w:rPr>
        <w:t xml:space="preserve">2.6 Open Questions the Team Is Still Validating</w:t>
      </w:r>
    </w:p>
    <w:p>
      <w:pPr>
        <w:spacing w:after="160" w:line="300"/>
      </w:pPr>
      <w:r>
        <w:rPr>
          <w:color w:val="444444"/>
          <w:sz w:val="22"/>
          <w:szCs w:val="22"/>
        </w:rPr>
        <w:t xml:space="preserve">In the interest of intellectual honesty — and because this report is meant to be usable by anyone continuing this work — the team has also been actively seeking outside validation on the following open questions, and any team building on this report should continue to pressure-test these:</w:t>
      </w:r>
    </w:p>
    <w:p>
      <w:pPr>
        <w:pStyle w:val="ListParagraph"/>
        <w:numPr>
          <w:ilvl w:val="0"/>
          <w:numId w:val="3"/>
        </w:numPr>
        <w:spacing w:after="80" w:line="280"/>
      </w:pPr>
      <w:r>
        <w:rPr>
          <w:color w:val="444444"/>
          <w:sz w:val="22"/>
          <w:szCs w:val="22"/>
        </w:rPr>
        <w:t xml:space="preserve">Is the underlying premise realistic — do eligible cases genuinely go unnoticed today due to workload, or is there a different, misunderstood bottleneck?</w:t>
      </w:r>
    </w:p>
    <w:p>
      <w:pPr>
        <w:pStyle w:val="ListParagraph"/>
        <w:numPr>
          <w:ilvl w:val="0"/>
          <w:numId w:val="3"/>
        </w:numPr>
        <w:spacing w:after="80" w:line="280"/>
      </w:pPr>
      <w:r>
        <w:rPr>
          <w:color w:val="444444"/>
          <w:sz w:val="22"/>
          <w:szCs w:val="22"/>
        </w:rPr>
        <w:t xml:space="preserve">Would a tool like this actually be useful to a legal-aid lawyer or DLSA in day-to-day practice, or is there something about how this work really happens that changes the design?</w:t>
      </w:r>
    </w:p>
    <w:p>
      <w:pPr>
        <w:pStyle w:val="ListParagraph"/>
        <w:numPr>
          <w:ilvl w:val="0"/>
          <w:numId w:val="3"/>
        </w:numPr>
        <w:spacing w:after="80" w:line="280"/>
      </w:pPr>
      <w:r>
        <w:rPr>
          <w:color w:val="444444"/>
          <w:sz w:val="22"/>
          <w:szCs w:val="22"/>
        </w:rPr>
        <w:t xml:space="preserve">What risks have not yet been considered — for example around case-data privacy, the reliability of an automated eligibility calculation, or how courts and DLSAs would actually adopt a new tool like this?</w:t>
      </w:r>
    </w:p>
    <w:p>
      <w:pPr>
        <w:pStyle w:val="ListParagraph"/>
        <w:numPr>
          <w:ilvl w:val="0"/>
          <w:numId w:val="3"/>
        </w:numPr>
        <w:spacing w:after="80" w:line="280"/>
      </w:pPr>
      <w:r>
        <w:rPr>
          <w:color w:val="444444"/>
          <w:sz w:val="22"/>
          <w:szCs w:val="22"/>
        </w:rPr>
        <w:t xml:space="preserve">Are there existing government systems or committees (e.g., Undertrial Review Committees) already doing parts of this that the team should be building alongside rather than duplicating?</w:t>
      </w:r>
    </w:p>
    <w:p>
      <w:pPr>
        <w:pStyle w:val="ListParagraph"/>
        <w:numPr>
          <w:ilvl w:val="0"/>
          <w:numId w:val="3"/>
        </w:numPr>
        <w:spacing w:after="80" w:line="280"/>
      </w:pPr>
      <w:r>
        <w:rPr>
          <w:color w:val="444444"/>
          <w:sz w:val="22"/>
          <w:szCs w:val="22"/>
        </w:rPr>
        <w:t xml:space="preserve">If built properly, is this something a legal-aid clinic or DLSA might genuinely consider piloting?</w:t>
      </w:r>
    </w:p>
    <w:p>
      <w:r>
        <w:br w:type="page"/>
      </w:r>
    </w:p>
    <w:p>
      <w:pPr>
        <w:pStyle w:val="Heading1"/>
        <w:pBdr>
          <w:bottom w:val="single" w:color="B08D57" w:sz="6" w:space="4"/>
        </w:pBdr>
        <w:spacing w:after="240" w:before="480"/>
      </w:pPr>
      <w:r>
        <w:rPr>
          <w:b/>
          <w:bCs/>
          <w:color w:val="1F2A44"/>
          <w:sz w:val="32"/>
          <w:szCs w:val="32"/>
        </w:rPr>
        <w:t xml:space="preserve">3. Part B — The Proposed Solution</w:t>
      </w:r>
    </w:p>
    <w:p>
      <w:pPr>
        <w:pStyle w:val="Heading2"/>
        <w:spacing w:after="160" w:before="360"/>
      </w:pPr>
      <w:r>
        <w:rPr>
          <w:b/>
          <w:bCs/>
          <w:color w:val="1F2A44"/>
          <w:sz w:val="26"/>
          <w:szCs w:val="26"/>
        </w:rPr>
        <w:t xml:space="preserve">3.1 Solution Overview and Design Philosophy</w:t>
      </w:r>
    </w:p>
    <w:p>
      <w:pPr>
        <w:spacing w:after="160" w:line="300"/>
      </w:pPr>
      <w:r>
        <w:rPr>
          <w:b/>
          <w:bCs/>
          <w:color w:val="444444"/>
          <w:sz w:val="22"/>
          <w:szCs w:val="22"/>
        </w:rPr>
        <w:t xml:space="preserve">One-line description: </w:t>
      </w:r>
      <w:r>
        <w:rPr>
          <w:color w:val="444444"/>
          <w:sz w:val="22"/>
          <w:szCs w:val="22"/>
        </w:rPr>
        <w:t xml:space="preserve">Nyaya Mitra is an agentic AI legal-operations platform — not a chatbot, and not a single-purpose drafting tool — that manages an undertrial's bail-eligibility case from initial detection all the way through to release, built on the IBM watsonx.ai / Granite / Data Prep Kit / watsonx Orchestrate stack (or an equivalent open alternative — see Part C).</w:t>
      </w:r>
    </w:p>
    <w:p>
      <w:pPr>
        <w:spacing w:after="160" w:line="300"/>
      </w:pPr>
      <w:r>
        <w:rPr>
          <w:color w:val="444444"/>
          <w:sz w:val="22"/>
          <w:szCs w:val="22"/>
        </w:rPr>
        <w:t xml:space="preserve">The single most important design decision in the entire project is this: the system never decides who deserves bail. Eligibility is computed as a fixed, deterministic rule — custody days elapsed compared against a statutory threshold for the specific offence — not inferred or predicted by a language model. The AI components of the system are used only to retrieve relevant law, draft documents, explain outcomes in plain language, and track status. Every output that could lead to a real-world legal action requires a human legal-aid lawyer to review and explicitly approve it before anything is filed in court.</w:t>
      </w:r>
    </w:p>
    <w:p>
      <w:pPr>
        <w:spacing w:after="160" w:line="300"/>
      </w:pPr>
      <w:r>
        <w:rPr>
          <w:color w:val="444444"/>
          <w:sz w:val="22"/>
          <w:szCs w:val="22"/>
        </w:rPr>
        <w:t xml:space="preserve">This single decision is what allows the system to sidestep the most common and most serious objection raised against "AI in criminal justice" projects — biased algorithmic risk-scoring — because the system does not score risk or predict outcomes of any kind. It only checks an already-codified, objective legal fact against a rule that already exists in law.</w:t>
      </w:r>
    </w:p>
    <w:p>
      <w:pPr>
        <w:pStyle w:val="Heading2"/>
        <w:spacing w:after="160" w:before="360"/>
      </w:pPr>
      <w:r>
        <w:rPr>
          <w:b/>
          <w:bCs/>
          <w:color w:val="1F2A44"/>
          <w:sz w:val="26"/>
          <w:szCs w:val="26"/>
        </w:rPr>
        <w:t xml:space="preserve">3.2 Who Uses It and How</w:t>
      </w:r>
    </w:p>
    <w:p>
      <w:pPr>
        <w:pStyle w:val="ListParagraph"/>
        <w:numPr>
          <w:ilvl w:val="0"/>
          <w:numId w:val="2"/>
        </w:numPr>
        <w:spacing w:after="80" w:line="280"/>
      </w:pPr>
      <w:r>
        <w:rPr>
          <w:color w:val="444444"/>
          <w:sz w:val="22"/>
          <w:szCs w:val="22"/>
        </w:rPr>
        <w:t xml:space="preserve">Primary users: District Legal Services Authorities (DLSAs), prison legal-aid clinics, and Undertrial Review Committees — official bodies that already exist by law but are chronically under-resourced.</w:t>
      </w:r>
    </w:p>
    <w:p>
      <w:pPr>
        <w:pStyle w:val="ListParagraph"/>
        <w:numPr>
          <w:ilvl w:val="0"/>
          <w:numId w:val="2"/>
        </w:numPr>
        <w:spacing w:after="80" w:line="280"/>
      </w:pPr>
      <w:r>
        <w:rPr>
          <w:color w:val="444444"/>
          <w:sz w:val="22"/>
          <w:szCs w:val="22"/>
        </w:rPr>
        <w:t xml:space="preserve">Secondary beneficiaries: undertrial prisoners themselves and their families, who receive plain-language, multilingual status explanations they otherwise have no reliable way of obtaining.</w:t>
      </w:r>
    </w:p>
    <w:p>
      <w:pPr>
        <w:spacing w:after="160" w:line="300"/>
      </w:pPr>
      <w:r>
        <w:rPr>
          <w:color w:val="444444"/>
          <w:sz w:val="22"/>
          <w:szCs w:val="22"/>
        </w:rPr>
        <w:t xml:space="preserve">An important clarification for anyone building or presenting this: the system does not monitor a prisoner from the moment of arrest automatically or by magic. It works with case records that already exist, pulled digitally from government systems (e-Prisons / eCourts) where available, or captured via OCR from paper files where digitisation has not happened. Once a case's data is inside the system, tracking and flagging become continuous and automatic from that point forward — but the system never takes legal action on its own; it always stops at “notify a human lawyer for review and sign-off.”</w:t>
      </w:r>
    </w:p>
    <w:p>
      <w:pPr>
        <w:pStyle w:val="Heading2"/>
        <w:spacing w:after="160" w:before="360"/>
      </w:pPr>
      <w:r>
        <w:rPr>
          <w:b/>
          <w:bCs/>
          <w:color w:val="1F2A44"/>
          <w:sz w:val="26"/>
          <w:szCs w:val="26"/>
        </w:rPr>
        <w:t xml:space="preserve">3.3 The Eight-Agent Pipeline (Detailed)</w:t>
      </w:r>
    </w:p>
    <w:p>
      <w:pPr>
        <w:spacing w:after="160" w:line="300"/>
      </w:pPr>
      <w:r>
        <w:rPr>
          <w:color w:val="444444"/>
          <w:sz w:val="22"/>
          <w:szCs w:val="22"/>
        </w:rPr>
        <w:t xml:space="preserve">The system is structured as eight cooperating agents, chained together by an orchestrator, each with a clearly scoped responsibility. This structure is itself a key differentiator (see Section 3.5) — most comparable projects implement only a fraction of this pipeline.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60"/>
      </w:tblGrid>
      <w:tr>
        <w:trPr>
          <w:tblHeader/>
        </w:trPr>
        <w:tc>
          <w:tcPr>
            <w:tcW w:type="dxa" w:w="500"/>
            <w:shd w:fill="1F2A44" w:val="clear"/>
            <w:tcMar>
              <w:top w:type="dxa" w:w="100"/>
              <w:left w:type="dxa" w:w="120"/>
              <w:bottom w:type="dxa" w:w="100"/>
              <w:right w:type="dxa" w:w="120"/>
            </w:tcMar>
          </w:tcPr>
          <w:p>
            <w:r>
              <w:rPr>
                <w:b/>
                <w:bCs/>
                <w:color w:val="FFFFFF"/>
                <w:sz w:val="20"/>
                <w:szCs w:val="20"/>
              </w:rPr>
              <w:t xml:space="preserve">#</w:t>
            </w:r>
          </w:p>
        </w:tc>
        <w:tc>
          <w:tcPr>
            <w:tcW w:type="dxa" w:w="2600"/>
            <w:shd w:fill="1F2A44" w:val="clear"/>
            <w:tcMar>
              <w:top w:type="dxa" w:w="100"/>
              <w:left w:type="dxa" w:w="120"/>
              <w:bottom w:type="dxa" w:w="100"/>
              <w:right w:type="dxa" w:w="120"/>
            </w:tcMar>
          </w:tcPr>
          <w:p>
            <w:r>
              <w:rPr>
                <w:b/>
                <w:bCs/>
                <w:color w:val="FFFFFF"/>
                <w:sz w:val="20"/>
                <w:szCs w:val="20"/>
              </w:rPr>
              <w:t xml:space="preserve">Agent</w:t>
            </w:r>
          </w:p>
        </w:tc>
        <w:tc>
          <w:tcPr>
            <w:tcW w:type="dxa" w:w="6560"/>
            <w:shd w:fill="1F2A44" w:val="clear"/>
            <w:tcMar>
              <w:top w:type="dxa" w:w="100"/>
              <w:left w:type="dxa" w:w="120"/>
              <w:bottom w:type="dxa" w:w="100"/>
              <w:right w:type="dxa" w:w="120"/>
            </w:tcMar>
          </w:tcPr>
          <w:p>
            <w:r>
              <w:rPr>
                <w:b/>
                <w:bCs/>
                <w:color w:val="FFFFFF"/>
                <w:sz w:val="20"/>
                <w:szCs w:val="20"/>
              </w:rPr>
              <w:t xml:space="preserve">Function</w:t>
            </w:r>
          </w:p>
        </w:tc>
      </w:tr>
      <w:tr>
        <w:tc>
          <w:tcPr>
            <w:tcW w:type="dxa" w:w="500"/>
            <w:tcMar>
              <w:top w:type="dxa" w:w="100"/>
              <w:left w:type="dxa" w:w="120"/>
              <w:bottom w:type="dxa" w:w="100"/>
              <w:right w:type="dxa" w:w="120"/>
            </w:tcMar>
          </w:tcPr>
          <w:p>
            <w:r>
              <w:rPr>
                <w:b w:val="false"/>
                <w:bCs w:val="false"/>
                <w:color w:val="444444"/>
                <w:sz w:val="20"/>
                <w:szCs w:val="20"/>
              </w:rPr>
              <w:t xml:space="preserve">1</w:t>
            </w:r>
          </w:p>
        </w:tc>
        <w:tc>
          <w:tcPr>
            <w:tcW w:type="dxa" w:w="2600"/>
            <w:tcMar>
              <w:top w:type="dxa" w:w="100"/>
              <w:left w:type="dxa" w:w="120"/>
              <w:bottom w:type="dxa" w:w="100"/>
              <w:right w:type="dxa" w:w="120"/>
            </w:tcMar>
          </w:tcPr>
          <w:p>
            <w:r>
              <w:rPr>
                <w:b w:val="false"/>
                <w:bCs w:val="false"/>
                <w:color w:val="444444"/>
                <w:sz w:val="20"/>
                <w:szCs w:val="20"/>
              </w:rPr>
              <w:t xml:space="preserve">Records Completeness Agent</w:t>
            </w:r>
          </w:p>
        </w:tc>
        <w:tc>
          <w:tcPr>
            <w:tcW w:type="dxa" w:w="6560"/>
            <w:tcMar>
              <w:top w:type="dxa" w:w="100"/>
              <w:left w:type="dxa" w:w="120"/>
              <w:bottom w:type="dxa" w:w="100"/>
              <w:right w:type="dxa" w:w="120"/>
            </w:tcMar>
          </w:tcPr>
          <w:p>
            <w:r>
              <w:rPr>
                <w:b w:val="false"/>
                <w:bCs w:val="false"/>
                <w:color w:val="444444"/>
                <w:sz w:val="20"/>
                <w:szCs w:val="20"/>
              </w:rPr>
              <w:t xml:space="preserve">Scans each case file against a required-documents checklist (remand order, charge sheet, prior bail orders); flags exactly what is missing and auto-generates a request to fill the gap.</w:t>
            </w:r>
          </w:p>
        </w:tc>
      </w:tr>
      <w:tr>
        <w:tc>
          <w:tcPr>
            <w:tcW w:type="dxa" w:w="500"/>
            <w:shd w:fill="F2F2F2" w:val="clear"/>
            <w:tcMar>
              <w:top w:type="dxa" w:w="100"/>
              <w:left w:type="dxa" w:w="120"/>
              <w:bottom w:type="dxa" w:w="100"/>
              <w:right w:type="dxa" w:w="120"/>
            </w:tcMar>
          </w:tcPr>
          <w:p>
            <w:r>
              <w:rPr>
                <w:b w:val="false"/>
                <w:bCs w:val="false"/>
                <w:color w:val="444444"/>
                <w:sz w:val="20"/>
                <w:szCs w:val="20"/>
              </w:rPr>
              <w:t xml:space="preserve">2</w:t>
            </w:r>
          </w:p>
        </w:tc>
        <w:tc>
          <w:tcPr>
            <w:tcW w:type="dxa" w:w="2600"/>
            <w:shd w:fill="F2F2F2" w:val="clear"/>
            <w:tcMar>
              <w:top w:type="dxa" w:w="100"/>
              <w:left w:type="dxa" w:w="120"/>
              <w:bottom w:type="dxa" w:w="100"/>
              <w:right w:type="dxa" w:w="120"/>
            </w:tcMar>
          </w:tcPr>
          <w:p>
            <w:r>
              <w:rPr>
                <w:b w:val="false"/>
                <w:bCs w:val="false"/>
                <w:color w:val="444444"/>
                <w:sz w:val="20"/>
                <w:szCs w:val="20"/>
              </w:rPr>
              <w:t xml:space="preserve">Eligibility Agent</w:t>
            </w:r>
          </w:p>
        </w:tc>
        <w:tc>
          <w:tcPr>
            <w:tcW w:type="dxa" w:w="6560"/>
            <w:shd w:fill="F2F2F2" w:val="clear"/>
            <w:tcMar>
              <w:top w:type="dxa" w:w="100"/>
              <w:left w:type="dxa" w:w="120"/>
              <w:bottom w:type="dxa" w:w="100"/>
              <w:right w:type="dxa" w:w="120"/>
            </w:tcMar>
          </w:tcPr>
          <w:p>
            <w:r>
              <w:rPr>
                <w:b w:val="false"/>
                <w:bCs w:val="false"/>
                <w:color w:val="444444"/>
                <w:sz w:val="20"/>
                <w:szCs w:val="20"/>
              </w:rPr>
              <w:t xml:space="preserve">Deterministic, non-LLM logic. Computes custody duration against the statutory threshold for the specific offence and returns an eligibility result plus days-overdue figure.</w:t>
            </w:r>
          </w:p>
        </w:tc>
      </w:tr>
      <w:tr>
        <w:tc>
          <w:tcPr>
            <w:tcW w:type="dxa" w:w="500"/>
            <w:tcMar>
              <w:top w:type="dxa" w:w="100"/>
              <w:left w:type="dxa" w:w="120"/>
              <w:bottom w:type="dxa" w:w="100"/>
              <w:right w:type="dxa" w:w="120"/>
            </w:tcMar>
          </w:tcPr>
          <w:p>
            <w:r>
              <w:rPr>
                <w:b w:val="false"/>
                <w:bCs w:val="false"/>
                <w:color w:val="444444"/>
                <w:sz w:val="20"/>
                <w:szCs w:val="20"/>
              </w:rPr>
              <w:t xml:space="preserve">3</w:t>
            </w:r>
          </w:p>
        </w:tc>
        <w:tc>
          <w:tcPr>
            <w:tcW w:type="dxa" w:w="2600"/>
            <w:tcMar>
              <w:top w:type="dxa" w:w="100"/>
              <w:left w:type="dxa" w:w="120"/>
              <w:bottom w:type="dxa" w:w="100"/>
              <w:right w:type="dxa" w:w="120"/>
            </w:tcMar>
          </w:tcPr>
          <w:p>
            <w:r>
              <w:rPr>
                <w:b w:val="false"/>
                <w:bCs w:val="false"/>
                <w:color w:val="444444"/>
                <w:sz w:val="20"/>
                <w:szCs w:val="20"/>
              </w:rPr>
              <w:t xml:space="preserve">Prioritization Agent</w:t>
            </w:r>
          </w:p>
        </w:tc>
        <w:tc>
          <w:tcPr>
            <w:tcW w:type="dxa" w:w="6560"/>
            <w:tcMar>
              <w:top w:type="dxa" w:w="100"/>
              <w:left w:type="dxa" w:w="120"/>
              <w:bottom w:type="dxa" w:w="100"/>
              <w:right w:type="dxa" w:w="120"/>
            </w:tcMar>
          </w:tcPr>
          <w:p>
            <w:r>
              <w:rPr>
                <w:b w:val="false"/>
                <w:bCs w:val="false"/>
                <w:color w:val="444444"/>
                <w:sz w:val="20"/>
                <w:szCs w:val="20"/>
              </w:rPr>
              <w:t xml:space="preserve">Ranks all flagged cases by days-overdue combined with urgency factors — age, health condition, offence severity, first-time-offender status — into a single ranked queue.</w:t>
            </w:r>
          </w:p>
        </w:tc>
      </w:tr>
      <w:tr>
        <w:tc>
          <w:tcPr>
            <w:tcW w:type="dxa" w:w="500"/>
            <w:shd w:fill="F2F2F2" w:val="clear"/>
            <w:tcMar>
              <w:top w:type="dxa" w:w="100"/>
              <w:left w:type="dxa" w:w="120"/>
              <w:bottom w:type="dxa" w:w="100"/>
              <w:right w:type="dxa" w:w="120"/>
            </w:tcMar>
          </w:tcPr>
          <w:p>
            <w:r>
              <w:rPr>
                <w:b w:val="false"/>
                <w:bCs w:val="false"/>
                <w:color w:val="444444"/>
                <w:sz w:val="20"/>
                <w:szCs w:val="20"/>
              </w:rPr>
              <w:t xml:space="preserve">4</w:t>
            </w:r>
          </w:p>
        </w:tc>
        <w:tc>
          <w:tcPr>
            <w:tcW w:type="dxa" w:w="2600"/>
            <w:shd w:fill="F2F2F2" w:val="clear"/>
            <w:tcMar>
              <w:top w:type="dxa" w:w="100"/>
              <w:left w:type="dxa" w:w="120"/>
              <w:bottom w:type="dxa" w:w="100"/>
              <w:right w:type="dxa" w:w="120"/>
            </w:tcMar>
          </w:tcPr>
          <w:p>
            <w:r>
              <w:rPr>
                <w:b w:val="false"/>
                <w:bCs w:val="false"/>
                <w:color w:val="444444"/>
                <w:sz w:val="20"/>
                <w:szCs w:val="20"/>
              </w:rPr>
              <w:t xml:space="preserve">Notification Agent</w:t>
            </w:r>
          </w:p>
        </w:tc>
        <w:tc>
          <w:tcPr>
            <w:tcW w:type="dxa" w:w="6560"/>
            <w:shd w:fill="F2F2F2" w:val="clear"/>
            <w:tcMar>
              <w:top w:type="dxa" w:w="100"/>
              <w:left w:type="dxa" w:w="120"/>
              <w:bottom w:type="dxa" w:w="100"/>
              <w:right w:type="dxa" w:w="120"/>
            </w:tcMar>
          </w:tcPr>
          <w:p>
            <w:r>
              <w:rPr>
                <w:b w:val="false"/>
                <w:bCs w:val="false"/>
                <w:color w:val="444444"/>
                <w:sz w:val="20"/>
                <w:szCs w:val="20"/>
              </w:rPr>
              <w:t xml:space="preserve">Proactively alerts the assigned legal-aid lawyer or DLSA officer via dashboard and/or SMS; escalates the most urgent cases.</w:t>
            </w:r>
          </w:p>
        </w:tc>
      </w:tr>
      <w:tr>
        <w:tc>
          <w:tcPr>
            <w:tcW w:type="dxa" w:w="500"/>
            <w:tcMar>
              <w:top w:type="dxa" w:w="100"/>
              <w:left w:type="dxa" w:w="120"/>
              <w:bottom w:type="dxa" w:w="100"/>
              <w:right w:type="dxa" w:w="120"/>
            </w:tcMar>
          </w:tcPr>
          <w:p>
            <w:r>
              <w:rPr>
                <w:b w:val="false"/>
                <w:bCs w:val="false"/>
                <w:color w:val="444444"/>
                <w:sz w:val="20"/>
                <w:szCs w:val="20"/>
              </w:rPr>
              <w:t xml:space="preserve">5</w:t>
            </w:r>
          </w:p>
        </w:tc>
        <w:tc>
          <w:tcPr>
            <w:tcW w:type="dxa" w:w="2600"/>
            <w:tcMar>
              <w:top w:type="dxa" w:w="100"/>
              <w:left w:type="dxa" w:w="120"/>
              <w:bottom w:type="dxa" w:w="100"/>
              <w:right w:type="dxa" w:w="120"/>
            </w:tcMar>
          </w:tcPr>
          <w:p>
            <w:r>
              <w:rPr>
                <w:b w:val="false"/>
                <w:bCs w:val="false"/>
                <w:color w:val="444444"/>
                <w:sz w:val="20"/>
                <w:szCs w:val="20"/>
              </w:rPr>
              <w:t xml:space="preserve">Retrieval Agent (RAG)</w:t>
            </w:r>
          </w:p>
        </w:tc>
        <w:tc>
          <w:tcPr>
            <w:tcW w:type="dxa" w:w="6560"/>
            <w:tcMar>
              <w:top w:type="dxa" w:w="100"/>
              <w:left w:type="dxa" w:w="120"/>
              <w:bottom w:type="dxa" w:w="100"/>
              <w:right w:type="dxa" w:w="120"/>
            </w:tcMar>
          </w:tcPr>
          <w:p>
            <w:r>
              <w:rPr>
                <w:b w:val="false"/>
                <w:bCs w:val="false"/>
                <w:color w:val="444444"/>
                <w:sz w:val="20"/>
                <w:szCs w:val="20"/>
              </w:rPr>
              <w:t xml:space="preserve">Pulls the exact statute section and precedent text justifying eligibility for that specific case from an indexed legal corpus — makes every flag explainable and auditable rather than a black box.</w:t>
            </w:r>
          </w:p>
        </w:tc>
      </w:tr>
      <w:tr>
        <w:tc>
          <w:tcPr>
            <w:tcW w:type="dxa" w:w="500"/>
            <w:shd w:fill="F2F2F2" w:val="clear"/>
            <w:tcMar>
              <w:top w:type="dxa" w:w="100"/>
              <w:left w:type="dxa" w:w="120"/>
              <w:bottom w:type="dxa" w:w="100"/>
              <w:right w:type="dxa" w:w="120"/>
            </w:tcMar>
          </w:tcPr>
          <w:p>
            <w:r>
              <w:rPr>
                <w:b w:val="false"/>
                <w:bCs w:val="false"/>
                <w:color w:val="444444"/>
                <w:sz w:val="20"/>
                <w:szCs w:val="20"/>
              </w:rPr>
              <w:t xml:space="preserve">6</w:t>
            </w:r>
          </w:p>
        </w:tc>
        <w:tc>
          <w:tcPr>
            <w:tcW w:type="dxa" w:w="2600"/>
            <w:shd w:fill="F2F2F2" w:val="clear"/>
            <w:tcMar>
              <w:top w:type="dxa" w:w="100"/>
              <w:left w:type="dxa" w:w="120"/>
              <w:bottom w:type="dxa" w:w="100"/>
              <w:right w:type="dxa" w:w="120"/>
            </w:tcMar>
          </w:tcPr>
          <w:p>
            <w:r>
              <w:rPr>
                <w:b w:val="false"/>
                <w:bCs w:val="false"/>
                <w:color w:val="444444"/>
                <w:sz w:val="20"/>
                <w:szCs w:val="20"/>
              </w:rPr>
              <w:t xml:space="preserve">Drafting Agent</w:t>
            </w:r>
          </w:p>
        </w:tc>
        <w:tc>
          <w:tcPr>
            <w:tcW w:type="dxa" w:w="6560"/>
            <w:shd w:fill="F2F2F2" w:val="clear"/>
            <w:tcMar>
              <w:top w:type="dxa" w:w="100"/>
              <w:left w:type="dxa" w:w="120"/>
              <w:bottom w:type="dxa" w:w="100"/>
              <w:right w:type="dxa" w:w="120"/>
            </w:tcMar>
          </w:tcPr>
          <w:p>
            <w:r>
              <w:rPr>
                <w:b w:val="false"/>
                <w:bCs w:val="false"/>
                <w:color w:val="444444"/>
                <w:sz w:val="20"/>
                <w:szCs w:val="20"/>
              </w:rPr>
              <w:t xml:space="preserve">Generates a bail application in the required legal format, grounded strictly in the text retrieved by the Retrieval Agent.</w:t>
            </w:r>
          </w:p>
        </w:tc>
      </w:tr>
      <w:tr>
        <w:tc>
          <w:tcPr>
            <w:tcW w:type="dxa" w:w="500"/>
            <w:tcMar>
              <w:top w:type="dxa" w:w="100"/>
              <w:left w:type="dxa" w:w="120"/>
              <w:bottom w:type="dxa" w:w="100"/>
              <w:right w:type="dxa" w:w="120"/>
            </w:tcMar>
          </w:tcPr>
          <w:p>
            <w:r>
              <w:rPr>
                <w:b w:val="false"/>
                <w:bCs w:val="false"/>
                <w:color w:val="444444"/>
                <w:sz w:val="20"/>
                <w:szCs w:val="20"/>
              </w:rPr>
              <w:t xml:space="preserve">7</w:t>
            </w:r>
          </w:p>
        </w:tc>
        <w:tc>
          <w:tcPr>
            <w:tcW w:type="dxa" w:w="2600"/>
            <w:tcMar>
              <w:top w:type="dxa" w:w="100"/>
              <w:left w:type="dxa" w:w="120"/>
              <w:bottom w:type="dxa" w:w="100"/>
              <w:right w:type="dxa" w:w="120"/>
            </w:tcMar>
          </w:tcPr>
          <w:p>
            <w:r>
              <w:rPr>
                <w:b w:val="false"/>
                <w:bCs w:val="false"/>
                <w:color w:val="444444"/>
                <w:sz w:val="20"/>
                <w:szCs w:val="20"/>
              </w:rPr>
              <w:t xml:space="preserve">Multilingual Explainer Agent</w:t>
            </w:r>
          </w:p>
        </w:tc>
        <w:tc>
          <w:tcPr>
            <w:tcW w:type="dxa" w:w="6560"/>
            <w:tcMar>
              <w:top w:type="dxa" w:w="100"/>
              <w:left w:type="dxa" w:w="120"/>
              <w:bottom w:type="dxa" w:w="100"/>
              <w:right w:type="dxa" w:w="120"/>
            </w:tcMar>
          </w:tcPr>
          <w:p>
            <w:r>
              <w:rPr>
                <w:b w:val="false"/>
                <w:bCs w:val="false"/>
                <w:color w:val="444444"/>
                <w:sz w:val="20"/>
                <w:szCs w:val="20"/>
              </w:rPr>
              <w:t xml:space="preserve">Produces a plain-language explanation of the prisoner's status, in the prisoner's or family's own language, suitable for jail visits or printouts.</w:t>
            </w:r>
          </w:p>
        </w:tc>
      </w:tr>
      <w:tr>
        <w:tc>
          <w:tcPr>
            <w:tcW w:type="dxa" w:w="500"/>
            <w:shd w:fill="F2F2F2" w:val="clear"/>
            <w:tcMar>
              <w:top w:type="dxa" w:w="100"/>
              <w:left w:type="dxa" w:w="120"/>
              <w:bottom w:type="dxa" w:w="100"/>
              <w:right w:type="dxa" w:w="120"/>
            </w:tcMar>
          </w:tcPr>
          <w:p>
            <w:r>
              <w:rPr>
                <w:b w:val="false"/>
                <w:bCs w:val="false"/>
                <w:color w:val="444444"/>
                <w:sz w:val="20"/>
                <w:szCs w:val="20"/>
              </w:rPr>
              <w:t xml:space="preserve">8</w:t>
            </w:r>
          </w:p>
        </w:tc>
        <w:tc>
          <w:tcPr>
            <w:tcW w:type="dxa" w:w="2600"/>
            <w:shd w:fill="F2F2F2" w:val="clear"/>
            <w:tcMar>
              <w:top w:type="dxa" w:w="100"/>
              <w:left w:type="dxa" w:w="120"/>
              <w:bottom w:type="dxa" w:w="100"/>
              <w:right w:type="dxa" w:w="120"/>
            </w:tcMar>
          </w:tcPr>
          <w:p>
            <w:r>
              <w:rPr>
                <w:b w:val="false"/>
                <w:bCs w:val="false"/>
                <w:color w:val="444444"/>
                <w:sz w:val="20"/>
                <w:szCs w:val="20"/>
              </w:rPr>
              <w:t xml:space="preserve">Status Tracking Agent</w:t>
            </w:r>
          </w:p>
        </w:tc>
        <w:tc>
          <w:tcPr>
            <w:tcW w:type="dxa" w:w="6560"/>
            <w:shd w:fill="F2F2F2" w:val="clear"/>
            <w:tcMar>
              <w:top w:type="dxa" w:w="100"/>
              <w:left w:type="dxa" w:w="120"/>
              <w:bottom w:type="dxa" w:w="100"/>
              <w:right w:type="dxa" w:w="120"/>
            </w:tcMar>
          </w:tcPr>
          <w:p>
            <w:r>
              <w:rPr>
                <w:b w:val="false"/>
                <w:bCs w:val="false"/>
                <w:color w:val="444444"/>
                <w:sz w:val="20"/>
                <w:szCs w:val="20"/>
              </w:rPr>
              <w:t xml:space="preserve">After a bail application is filed, monitors case-status records and updates the dashboard through hearing scheduled → order passed → release, alerting the lawyer if the case appears to be stalling.</w:t>
            </w:r>
          </w:p>
        </w:tc>
      </w:tr>
    </w:tbl>
    <w:p>
      <w:pPr>
        <w:spacing w:after="160" w:line="300"/>
      </w:pPr>
      <w:r>
        <w:rPr>
          <w:color w:val="444444"/>
          <w:sz w:val="22"/>
          <w:szCs w:val="22"/>
        </w:rPr>
        <w:t xml:space="preserve"/>
      </w:r>
    </w:p>
    <w:p>
      <w:pPr>
        <w:spacing w:after="160" w:line="300"/>
      </w:pPr>
      <w:r>
        <w:rPr>
          <w:b/>
          <w:bCs/>
          <w:color w:val="444444"/>
          <w:sz w:val="22"/>
          <w:szCs w:val="22"/>
        </w:rPr>
        <w:t xml:space="preserve">The non-negotiable checkpoint: </w:t>
      </w:r>
      <w:r>
        <w:rPr>
          <w:color w:val="444444"/>
          <w:sz w:val="22"/>
          <w:szCs w:val="22"/>
        </w:rPr>
        <w:t xml:space="preserve">a human legal-aid lawyer reviews and signs off before anything produced by the Drafting Agent is actually filed. This should be implemented as a real UI approval gate in the system — a button the lawyer must click — not merely a claim made in a pitch or a slide.</w:t>
      </w:r>
    </w:p>
    <w:p>
      <w:pPr>
        <w:pStyle w:val="Heading2"/>
        <w:spacing w:after="160" w:before="360"/>
      </w:pPr>
      <w:r>
        <w:rPr>
          <w:b/>
          <w:bCs/>
          <w:color w:val="1F2A44"/>
          <w:sz w:val="26"/>
          <w:szCs w:val="26"/>
        </w:rPr>
        <w:t xml:space="preserve">3.4 Ethics and Safety by Design</w:t>
      </w:r>
    </w:p>
    <w:p>
      <w:pPr>
        <w:pStyle w:val="ListParagraph"/>
        <w:numPr>
          <w:ilvl w:val="0"/>
          <w:numId w:val="2"/>
        </w:numPr>
        <w:spacing w:after="80" w:line="280"/>
      </w:pPr>
      <w:r>
        <w:rPr>
          <w:color w:val="444444"/>
          <w:sz w:val="22"/>
          <w:szCs w:val="22"/>
        </w:rPr>
        <w:t xml:space="preserve">No autonomous legal action is ever taken — a human lawyer must sign off before anything is filed.</w:t>
      </w:r>
    </w:p>
    <w:p>
      <w:pPr>
        <w:pStyle w:val="ListParagraph"/>
        <w:numPr>
          <w:ilvl w:val="0"/>
          <w:numId w:val="2"/>
        </w:numPr>
        <w:spacing w:after="80" w:line="280"/>
      </w:pPr>
      <w:r>
        <w:rPr>
          <w:color w:val="444444"/>
          <w:sz w:val="22"/>
          <w:szCs w:val="22"/>
        </w:rPr>
        <w:t xml:space="preserve">Every eligibility flag is traceable to a specific, cited statute or precedent via the Retrieval Agent's RAG pipeline — the system is fully auditable, not a black box.</w:t>
      </w:r>
    </w:p>
    <w:p>
      <w:pPr>
        <w:pStyle w:val="ListParagraph"/>
        <w:numPr>
          <w:ilvl w:val="0"/>
          <w:numId w:val="2"/>
        </w:numPr>
        <w:spacing w:after="80" w:line="280"/>
      </w:pPr>
      <w:r>
        <w:rPr>
          <w:color w:val="444444"/>
          <w:sz w:val="22"/>
          <w:szCs w:val="22"/>
        </w:rPr>
        <w:t xml:space="preserve">Low-confidence flags — for example, ambiguous offence classification or incomplete records — are routed for manual review rather than being auto-approved.</w:t>
      </w:r>
    </w:p>
    <w:p>
      <w:pPr>
        <w:pStyle w:val="ListParagraph"/>
        <w:numPr>
          <w:ilvl w:val="0"/>
          <w:numId w:val="2"/>
        </w:numPr>
        <w:spacing w:after="80" w:line="280"/>
      </w:pPr>
      <w:r>
        <w:rPr>
          <w:color w:val="444444"/>
          <w:sz w:val="22"/>
          <w:szCs w:val="22"/>
        </w:rPr>
        <w:t xml:space="preserve">Case data stays within the relevant jurisdiction's system; access is limited to authorised DLSA and legal-aid personnel only.</w:t>
      </w:r>
    </w:p>
    <w:p>
      <w:pPr>
        <w:pStyle w:val="ListParagraph"/>
        <w:numPr>
          <w:ilvl w:val="0"/>
          <w:numId w:val="2"/>
        </w:numPr>
        <w:spacing w:after="80" w:line="280"/>
      </w:pPr>
      <w:r>
        <w:rPr>
          <w:color w:val="444444"/>
          <w:sz w:val="22"/>
          <w:szCs w:val="22"/>
        </w:rPr>
        <w:t xml:space="preserve">The system can only ever surface information toward release — it has no mechanism to suppress or hide a flag once generated, and every flag is timestamped and logged for auditability.</w:t>
      </w:r>
    </w:p>
    <w:p>
      <w:pPr>
        <w:pStyle w:val="ListParagraph"/>
        <w:numPr>
          <w:ilvl w:val="0"/>
          <w:numId w:val="2"/>
        </w:numPr>
        <w:spacing w:after="80" w:line="280"/>
      </w:pPr>
      <w:r>
        <w:rPr>
          <w:color w:val="444444"/>
          <w:sz w:val="22"/>
          <w:szCs w:val="22"/>
        </w:rPr>
        <w:t xml:space="preserve">Only synthetic case data should ever be used during development, testing, and demonstration. No real prisoner names or records should be sourced, simulated from, or entered into the system at any stage.</w:t>
      </w:r>
    </w:p>
    <w:p>
      <w:pPr>
        <w:pStyle w:val="Heading2"/>
        <w:spacing w:after="160" w:before="360"/>
      </w:pPr>
      <w:r>
        <w:rPr>
          <w:b/>
          <w:bCs/>
          <w:color w:val="1F2A44"/>
          <w:sz w:val="26"/>
          <w:szCs w:val="26"/>
        </w:rPr>
        <w:t xml:space="preserve">3.5 Why This Differs From a Typical Legal-AI Project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400"/>
        <w:gridCol w:w="5260"/>
      </w:tblGrid>
      <w:tr>
        <w:trPr>
          <w:tblHeader/>
        </w:trPr>
        <w:tc>
          <w:tcPr>
            <w:tcW w:type="dxa" w:w="4400"/>
            <w:shd w:fill="1F2A44" w:val="clear"/>
            <w:tcMar>
              <w:top w:type="dxa" w:w="100"/>
              <w:left w:type="dxa" w:w="120"/>
              <w:bottom w:type="dxa" w:w="100"/>
              <w:right w:type="dxa" w:w="120"/>
            </w:tcMar>
          </w:tcPr>
          <w:p>
            <w:r>
              <w:rPr>
                <w:b/>
                <w:bCs/>
                <w:color w:val="FFFFFF"/>
                <w:sz w:val="20"/>
                <w:szCs w:val="20"/>
              </w:rPr>
              <w:t xml:space="preserve">Typical legal-AI entry</w:t>
            </w:r>
          </w:p>
        </w:tc>
        <w:tc>
          <w:tcPr>
            <w:tcW w:type="dxa" w:w="5260"/>
            <w:shd w:fill="1F2A44" w:val="clear"/>
            <w:tcMar>
              <w:top w:type="dxa" w:w="100"/>
              <w:left w:type="dxa" w:w="120"/>
              <w:bottom w:type="dxa" w:w="100"/>
              <w:right w:type="dxa" w:w="120"/>
            </w:tcMar>
          </w:tcPr>
          <w:p>
            <w:r>
              <w:rPr>
                <w:b/>
                <w:bCs/>
                <w:color w:val="FFFFFF"/>
                <w:sz w:val="20"/>
                <w:szCs w:val="20"/>
              </w:rPr>
              <w:t xml:space="preserve">Nyaya Mitra</w:t>
            </w:r>
          </w:p>
        </w:tc>
      </w:tr>
      <w:tr>
        <w:tc>
          <w:tcPr>
            <w:tcW w:type="dxa" w:w="4400"/>
            <w:tcMar>
              <w:top w:type="dxa" w:w="100"/>
              <w:left w:type="dxa" w:w="120"/>
              <w:bottom w:type="dxa" w:w="100"/>
              <w:right w:type="dxa" w:w="120"/>
            </w:tcMar>
          </w:tcPr>
          <w:p>
            <w:r>
              <w:rPr>
                <w:b w:val="false"/>
                <w:bCs w:val="false"/>
                <w:color w:val="444444"/>
                <w:sz w:val="20"/>
                <w:szCs w:val="20"/>
              </w:rPr>
              <w:t xml:space="preserve">Chatbot answering legal questions</w:t>
            </w:r>
          </w:p>
        </w:tc>
        <w:tc>
          <w:tcPr>
            <w:tcW w:type="dxa" w:w="5260"/>
            <w:tcMar>
              <w:top w:type="dxa" w:w="100"/>
              <w:left w:type="dxa" w:w="120"/>
              <w:bottom w:type="dxa" w:w="100"/>
              <w:right w:type="dxa" w:w="120"/>
            </w:tcMar>
          </w:tcPr>
          <w:p>
            <w:r>
              <w:rPr>
                <w:b w:val="false"/>
                <w:bCs w:val="false"/>
                <w:color w:val="444444"/>
                <w:sz w:val="20"/>
                <w:szCs w:val="20"/>
              </w:rPr>
              <w:t xml:space="preserve">Manages the full case lifecycle end-to-end, from detection to release</w:t>
            </w:r>
          </w:p>
        </w:tc>
      </w:tr>
      <w:tr>
        <w:tc>
          <w:tcPr>
            <w:tcW w:type="dxa" w:w="4400"/>
            <w:shd w:fill="F2F2F2" w:val="clear"/>
            <w:tcMar>
              <w:top w:type="dxa" w:w="100"/>
              <w:left w:type="dxa" w:w="120"/>
              <w:bottom w:type="dxa" w:w="100"/>
              <w:right w:type="dxa" w:w="120"/>
            </w:tcMar>
          </w:tcPr>
          <w:p>
            <w:r>
              <w:rPr>
                <w:b w:val="false"/>
                <w:bCs w:val="false"/>
                <w:color w:val="444444"/>
                <w:sz w:val="20"/>
                <w:szCs w:val="20"/>
              </w:rPr>
              <w:t xml:space="preserve">Drafts a single document on request</w:t>
            </w:r>
          </w:p>
        </w:tc>
        <w:tc>
          <w:tcPr>
            <w:tcW w:type="dxa" w:w="5260"/>
            <w:shd w:fill="F2F2F2" w:val="clear"/>
            <w:tcMar>
              <w:top w:type="dxa" w:w="100"/>
              <w:left w:type="dxa" w:w="120"/>
              <w:bottom w:type="dxa" w:w="100"/>
              <w:right w:type="dxa" w:w="120"/>
            </w:tcMar>
          </w:tcPr>
          <w:p>
            <w:r>
              <w:rPr>
                <w:b w:val="false"/>
                <w:bCs w:val="false"/>
                <w:color w:val="444444"/>
                <w:sz w:val="20"/>
                <w:szCs w:val="20"/>
              </w:rPr>
              <w:t xml:space="preserve">Detects, verifies, prioritises, notifies, drafts, explains, and tracks — all eight stages</w:t>
            </w:r>
          </w:p>
        </w:tc>
      </w:tr>
      <w:tr>
        <w:tc>
          <w:tcPr>
            <w:tcW w:type="dxa" w:w="4400"/>
            <w:tcMar>
              <w:top w:type="dxa" w:w="100"/>
              <w:left w:type="dxa" w:w="120"/>
              <w:bottom w:type="dxa" w:w="100"/>
              <w:right w:type="dxa" w:w="120"/>
            </w:tcMar>
          </w:tcPr>
          <w:p>
            <w:r>
              <w:rPr>
                <w:b w:val="false"/>
                <w:bCs w:val="false"/>
                <w:color w:val="444444"/>
                <w:sz w:val="20"/>
                <w:szCs w:val="20"/>
              </w:rPr>
              <w:t xml:space="preserve">Stops once a document is generated</w:t>
            </w:r>
          </w:p>
        </w:tc>
        <w:tc>
          <w:tcPr>
            <w:tcW w:type="dxa" w:w="5260"/>
            <w:tcMar>
              <w:top w:type="dxa" w:w="100"/>
              <w:left w:type="dxa" w:w="120"/>
              <w:bottom w:type="dxa" w:w="100"/>
              <w:right w:type="dxa" w:w="120"/>
            </w:tcMar>
          </w:tcPr>
          <w:p>
            <w:r>
              <w:rPr>
                <w:b w:val="false"/>
                <w:bCs w:val="false"/>
                <w:color w:val="444444"/>
                <w:sz w:val="20"/>
                <w:szCs w:val="20"/>
              </w:rPr>
              <w:t xml:space="preserve">Keeps monitoring after filing, which is where cases most often go silent today</w:t>
            </w:r>
          </w:p>
        </w:tc>
      </w:tr>
      <w:tr>
        <w:tc>
          <w:tcPr>
            <w:tcW w:type="dxa" w:w="4400"/>
            <w:shd w:fill="F2F2F2" w:val="clear"/>
            <w:tcMar>
              <w:top w:type="dxa" w:w="100"/>
              <w:left w:type="dxa" w:w="120"/>
              <w:bottom w:type="dxa" w:w="100"/>
              <w:right w:type="dxa" w:w="120"/>
            </w:tcMar>
          </w:tcPr>
          <w:p>
            <w:r>
              <w:rPr>
                <w:b w:val="false"/>
                <w:bCs w:val="false"/>
                <w:color w:val="444444"/>
                <w:sz w:val="20"/>
                <w:szCs w:val="20"/>
              </w:rPr>
              <w:t xml:space="preserve">Often implies the AI predicts or scores legal risk</w:t>
            </w:r>
          </w:p>
        </w:tc>
        <w:tc>
          <w:tcPr>
            <w:tcW w:type="dxa" w:w="5260"/>
            <w:shd w:fill="F2F2F2" w:val="clear"/>
            <w:tcMar>
              <w:top w:type="dxa" w:w="100"/>
              <w:left w:type="dxa" w:w="120"/>
              <w:bottom w:type="dxa" w:w="100"/>
              <w:right w:type="dxa" w:w="120"/>
            </w:tcMar>
          </w:tcPr>
          <w:p>
            <w:r>
              <w:rPr>
                <w:b w:val="false"/>
                <w:bCs w:val="false"/>
                <w:color w:val="444444"/>
                <w:sz w:val="20"/>
                <w:szCs w:val="20"/>
              </w:rPr>
              <w:t xml:space="preserve">Deliberately avoids this entirely — only automates an already-codified, objective rule (custody time vs. statutory threshold)</w:t>
            </w:r>
          </w:p>
        </w:tc>
      </w:tr>
    </w:tbl>
    <w:p>
      <w:pPr>
        <w:spacing w:after="160" w:line="300"/>
      </w:pPr>
      <w:r>
        <w:rPr>
          <w:color w:val="444444"/>
          <w:sz w:val="22"/>
          <w:szCs w:val="22"/>
        </w:rPr>
        <w:t xml:space="preserve"/>
      </w:r>
    </w:p>
    <w:p>
      <w:pPr>
        <w:spacing w:after="160" w:line="300"/>
      </w:pPr>
      <w:r>
        <w:rPr>
          <w:color w:val="444444"/>
          <w:sz w:val="22"/>
          <w:szCs w:val="22"/>
        </w:rPr>
        <w:t xml:space="preserve">Two elements of the pipeline in particular are uncommon in comparable projects and worth emphasising to anyone evaluating or continuing this work: the Records Completeness Agent, which catches missing paperwork before a case ever stalls (most comparable tools assume the file is already complete and only fail later, at drafting time); and the Status Tracking Agent, which follows a case after it has been filed — because a large share of real-world delay happens after eligibility has already been established, not before it.</w:t>
      </w:r>
    </w:p>
    <w:p>
      <w:r>
        <w:br w:type="page"/>
      </w:r>
    </w:p>
    <w:p>
      <w:pPr>
        <w:pStyle w:val="Heading1"/>
        <w:pBdr>
          <w:bottom w:val="single" w:color="B08D57" w:sz="6" w:space="4"/>
        </w:pBdr>
        <w:spacing w:after="240" w:before="480"/>
      </w:pPr>
      <w:r>
        <w:rPr>
          <w:b/>
          <w:bCs/>
          <w:color w:val="1F2A44"/>
          <w:sz w:val="32"/>
          <w:szCs w:val="32"/>
        </w:rPr>
        <w:t xml:space="preserve">4. Part C — Technical Build Specification</w:t>
      </w:r>
    </w:p>
    <w:p>
      <w:pPr>
        <w:spacing w:after="160" w:line="300"/>
      </w:pPr>
      <w:r>
        <w:rPr>
          <w:color w:val="444444"/>
          <w:sz w:val="22"/>
          <w:szCs w:val="22"/>
        </w:rPr>
        <w:t xml:space="preserve">This section is written so that a different team, with full freedom over exact implementation choices, could build this system independently using this report as their starting brief. Specific library and framework choices below reflect the original team's decisions and reasoning — a rebuilding team should feel free to substitute equivalent tools as long as the underlying architecture and the human-sign-off requirement are preserved.</w:t>
      </w:r>
    </w:p>
    <w:p>
      <w:pPr>
        <w:pStyle w:val="Heading2"/>
        <w:spacing w:after="160" w:before="360"/>
      </w:pPr>
      <w:r>
        <w:rPr>
          <w:b/>
          <w:bCs/>
          <w:color w:val="1F2A44"/>
          <w:sz w:val="26"/>
          <w:szCs w:val="26"/>
        </w:rPr>
        <w:t xml:space="preserve">4.1 Technology Stack and Decision Rationale</w:t>
      </w:r>
    </w:p>
    <w:p>
      <w:pPr>
        <w:pStyle w:val="Heading3"/>
        <w:spacing w:after="120" w:before="240"/>
      </w:pPr>
      <w:r>
        <w:rPr>
          <w:b/>
          <w:bCs/>
          <w:color w:val="B08D57"/>
          <w:sz w:val="22"/>
          <w:szCs w:val="22"/>
        </w:rPr>
        <w:t xml:space="preserve">Path A — Open IBM Stack (recommended default)</w:t>
      </w:r>
    </w:p>
    <w:p>
      <w:pPr>
        <w:spacing w:after="160" w:line="300"/>
      </w:pPr>
      <w:r>
        <w:rPr>
          <w:color w:val="444444"/>
          <w:sz w:val="22"/>
          <w:szCs w:val="22"/>
        </w:rPr>
        <w:t xml:space="preserve">Ollama running Granite locally, the BeeAI framework for multi-agent orchestration, Docling for document parsing, Data Prep Kit for the data-cleaning pipeline, and ChromaDB for the RAG vector store — with one agent (Drafting) also optionally wired to real watsonx.ai as a bonus live-cloud path.</w:t>
      </w:r>
    </w:p>
    <w:p>
      <w:pPr>
        <w:pStyle w:val="ListParagraph"/>
        <w:numPr>
          <w:ilvl w:val="0"/>
          <w:numId w:val="2"/>
        </w:numPr>
        <w:spacing w:after="80" w:line="280"/>
      </w:pPr>
      <w:r>
        <w:rPr>
          <w:color w:val="444444"/>
          <w:sz w:val="22"/>
          <w:szCs w:val="22"/>
        </w:rPr>
        <w:t xml:space="preserve">Pros: entirely free to run; works fully offline, so a live demo never depends on venue wifi; keeps a consistent “Built on IBM” narrative across any supporting materials; IBM-aligned tooling is a credible, relevant signal if the project is evaluated by or associated with IBM.</w:t>
      </w:r>
    </w:p>
    <w:p>
      <w:pPr>
        <w:pStyle w:val="ListParagraph"/>
        <w:numPr>
          <w:ilvl w:val="0"/>
          <w:numId w:val="2"/>
        </w:numPr>
        <w:spacing w:after="80" w:line="280"/>
      </w:pPr>
      <w:r>
        <w:rPr>
          <w:color w:val="444444"/>
          <w:sz w:val="22"/>
          <w:szCs w:val="22"/>
        </w:rPr>
        <w:t xml:space="preserve">Cons: more moving parts to set up across several libraries; local model inference (via Ollama) can be slow on weaker hardware; the BeeAI framework has a learning curve if no team member has used it before.</w:t>
      </w:r>
    </w:p>
    <w:p>
      <w:pPr>
        <w:pStyle w:val="Heading3"/>
        <w:spacing w:after="120" w:before="240"/>
      </w:pPr>
      <w:r>
        <w:rPr>
          <w:b/>
          <w:bCs/>
          <w:color w:val="B08D57"/>
          <w:sz w:val="22"/>
          <w:szCs w:val="22"/>
        </w:rPr>
        <w:t xml:space="preserve">Path B — Fastest generic stack (documented fallback)</w:t>
      </w:r>
    </w:p>
    <w:p>
      <w:pPr>
        <w:spacing w:after="160" w:line="300"/>
      </w:pPr>
      <w:r>
        <w:rPr>
          <w:color w:val="444444"/>
          <w:sz w:val="22"/>
          <w:szCs w:val="22"/>
        </w:rPr>
        <w:t xml:space="preserve">Groq's free API (fast Llama/Gemma inference) or the Gemini free tier for LLM calls, a hand-rolled Python state machine instead of a dedicated agent framework (genuinely faster to build than learning a new framework under time pressure, for a pipeline this linear), and plain pytesseract / PyPDF2 instead of Docling for document parsing.</w:t>
      </w:r>
    </w:p>
    <w:p>
      <w:pPr>
        <w:pStyle w:val="ListParagraph"/>
        <w:numPr>
          <w:ilvl w:val="0"/>
          <w:numId w:val="2"/>
        </w:numPr>
        <w:spacing w:after="80" w:line="280"/>
      </w:pPr>
      <w:r>
        <w:rPr>
          <w:color w:val="444444"/>
          <w:sz w:val="22"/>
          <w:szCs w:val="22"/>
        </w:rPr>
        <w:t xml:space="preserve">Pros: shorter new-tool learning curve; potentially faster raw inference; fewer setup failure points overall.</w:t>
      </w:r>
    </w:p>
    <w:p>
      <w:pPr>
        <w:pStyle w:val="ListParagraph"/>
        <w:numPr>
          <w:ilvl w:val="0"/>
          <w:numId w:val="2"/>
        </w:numPr>
        <w:spacing w:after="80" w:line="280"/>
      </w:pPr>
      <w:r>
        <w:rPr>
          <w:color w:val="444444"/>
          <w:sz w:val="22"/>
          <w:szCs w:val="22"/>
        </w:rPr>
        <w:t xml:space="preserve">Cons: breaks an “IBM-built” narrative if that alignment matters for the context this is being built or presented in; forfeits any credit for using IBM's named tooling specifically.</w:t>
      </w:r>
    </w:p>
    <w:p>
      <w:pPr>
        <w:pStyle w:val="Heading3"/>
        <w:spacing w:after="120" w:before="240"/>
      </w:pPr>
      <w:r>
        <w:rPr>
          <w:b/>
          <w:bCs/>
          <w:color w:val="B08D57"/>
          <w:sz w:val="22"/>
          <w:szCs w:val="22"/>
        </w:rPr>
        <w:t xml:space="preserve">Recommendation and the stack-swap safety pattern</w:t>
      </w:r>
    </w:p>
    <w:p>
      <w:pPr>
        <w:spacing w:after="160" w:line="300"/>
      </w:pPr>
      <w:r>
        <w:rPr>
          <w:color w:val="444444"/>
          <w:sz w:val="22"/>
          <w:szCs w:val="22"/>
        </w:rPr>
        <w:t xml:space="preserve">Default to Path A; fall back to Path B only if a real blocker is hit early (for example, Ollama will not run on available hardware, or no team member can get a working watsonx account). To make switching cheap regardless of which path is chosen, route every single LLM call in the codebase through one function in one file — conventionally backend/app/llm_client.py — so no other file ever calls a provider SDK directly. A primary call (e.g., watsonx) should be wrapped in a try/except that falls back to a secondary local call (e.g., local Ollama Granite) on timeout, quota, or connection errors. This turns a full stack pivot into a small, low-risk change instead of a rewrite.</w:t>
      </w:r>
    </w:p>
    <w:p>
      <w:pPr>
        <w:pStyle w:val="Heading2"/>
        <w:spacing w:after="160" w:before="360"/>
      </w:pPr>
      <w:r>
        <w:rPr>
          <w:b/>
          <w:bCs/>
          <w:color w:val="1F2A44"/>
          <w:sz w:val="26"/>
          <w:szCs w:val="26"/>
        </w:rPr>
        <w:t xml:space="preserve">4.2 System Architecture and Repository Structure</w:t>
      </w:r>
    </w:p>
    <w:p>
      <w:pPr>
        <w:spacing w:after="160" w:line="300"/>
      </w:pPr>
      <w:r>
        <w:rPr>
          <w:color w:val="444444"/>
          <w:sz w:val="22"/>
          <w:szCs w:val="22"/>
        </w:rPr>
        <w:t xml:space="preserve">A suggested repository layout, organised around the eight-agent pipeline and a clear separation between backend, frontend, data, and documentation:</w:t>
      </w:r>
    </w:p>
    <w:p>
      <w:pPr>
        <w:pBdr>
          <w:top w:val="single" w:color="DDDDDD" w:sz="4"/>
          <w:bottom w:val="single" w:color="DDDDDD" w:sz="4"/>
          <w:left w:val="single" w:color="DDDDDD" w:sz="4"/>
          <w:right w:val="single" w:color="DDDDDD" w:sz="4"/>
        </w:pBdr>
        <w:shd w:fill="F7F5F0" w:val="clear"/>
        <w:spacing w:after="200"/>
      </w:pPr>
      <w:r>
        <w:rPr>
          <w:rFonts w:ascii="Courier New" w:cs="Courier New" w:eastAsia="Courier New" w:hAnsi="Courier New"/>
          <w:color w:val="333333"/>
          <w:sz w:val="18"/>
          <w:szCs w:val="18"/>
        </w:rPr>
        <w:t xml:space="preserve">nyaya-mitra/
  backend/app/main.py
  backend/app/llm_client.py        (single choke point for every LLM call)
  backend/app/agents/
      eligibility_agent.py
      completeness_agent.py
      prioritization_agent.py
      notification_agent.py
      retrieval_agent.py
      drafting_agent.py
      explainer_agent.py
      status_agent.py
      orchestrator.py
  backend/app/rag/build_index.py, vector_store.py
  backend/app/data_prep/ingest_pipeline.py
  backend/app/models/                (Pydantic schemas)
  backend/app/api/                   (route handlers)
  backend/app/tests/                 (one smoke test per agent)
  backend/requirements.txt
  frontend/                          (lawyer dashboard, family view)
  data/synthetic_cases/, data/statutes/, data/processed/
  docs/architecture-diagram.png
  .env.example                       (keys as blank placeholders — never real ones)
  README.md                          (setup + “what's live vs. mocked” section)</w:t>
      </w:r>
    </w:p>
    <w:p>
      <w:pPr>
        <w:pStyle w:val="Heading3"/>
        <w:spacing w:after="120" w:before="240"/>
      </w:pPr>
      <w:r>
        <w:rPr>
          <w:b/>
          <w:bCs/>
          <w:color w:val="B08D57"/>
          <w:sz w:val="22"/>
          <w:szCs w:val="22"/>
        </w:rPr>
        <w:t xml:space="preserve">Suggested API surface</w:t>
      </w:r>
    </w:p>
    <w:p>
      <w:pPr>
        <w:pStyle w:val="ListParagraph"/>
        <w:numPr>
          <w:ilvl w:val="0"/>
          <w:numId w:val="2"/>
        </w:numPr>
        <w:spacing w:after="80" w:line="280"/>
      </w:pPr>
      <w:r>
        <w:rPr>
          <w:color w:val="444444"/>
          <w:sz w:val="22"/>
          <w:szCs w:val="22"/>
        </w:rPr>
        <w:t xml:space="preserve">GET /cases — returns the prioritised case queue</w:t>
      </w:r>
    </w:p>
    <w:p>
      <w:pPr>
        <w:pStyle w:val="ListParagraph"/>
        <w:numPr>
          <w:ilvl w:val="0"/>
          <w:numId w:val="2"/>
        </w:numPr>
        <w:spacing w:after="80" w:line="280"/>
      </w:pPr>
      <w:r>
        <w:rPr>
          <w:color w:val="444444"/>
          <w:sz w:val="22"/>
          <w:szCs w:val="22"/>
        </w:rPr>
        <w:t xml:space="preserve">GET /cases/{id} — returns full detail for one case, including agent outputs</w:t>
      </w:r>
    </w:p>
    <w:p>
      <w:pPr>
        <w:pStyle w:val="ListParagraph"/>
        <w:numPr>
          <w:ilvl w:val="0"/>
          <w:numId w:val="2"/>
        </w:numPr>
        <w:spacing w:after="80" w:line="280"/>
      </w:pPr>
      <w:r>
        <w:rPr>
          <w:color w:val="444444"/>
          <w:sz w:val="22"/>
          <w:szCs w:val="22"/>
        </w:rPr>
        <w:t xml:space="preserve">POST /cases/{id}/approve — the human sign-off gate; triggers the transition to “filed” state</w:t>
      </w:r>
    </w:p>
    <w:p>
      <w:pPr>
        <w:pStyle w:val="ListParagraph"/>
        <w:numPr>
          <w:ilvl w:val="0"/>
          <w:numId w:val="2"/>
        </w:numPr>
        <w:spacing w:after="80" w:line="280"/>
      </w:pPr>
      <w:r>
        <w:rPr>
          <w:color w:val="444444"/>
          <w:sz w:val="22"/>
          <w:szCs w:val="22"/>
        </w:rPr>
        <w:t xml:space="preserve">GET /cases/{id}/status — returns current post-filing status from the Status Tracking Agent</w:t>
      </w:r>
    </w:p>
    <w:p>
      <w:pPr>
        <w:pStyle w:val="Heading3"/>
        <w:spacing w:after="120" w:before="240"/>
      </w:pPr>
      <w:r>
        <w:rPr>
          <w:b/>
          <w:bCs/>
          <w:color w:val="B08D57"/>
          <w:sz w:val="22"/>
          <w:szCs w:val="22"/>
        </w:rPr>
        <w:t xml:space="preserve">Suggested interface surfaces</w:t>
      </w:r>
    </w:p>
    <w:p>
      <w:pPr>
        <w:pStyle w:val="ListParagraph"/>
        <w:numPr>
          <w:ilvl w:val="0"/>
          <w:numId w:val="2"/>
        </w:numPr>
        <w:spacing w:after="80" w:line="280"/>
      </w:pPr>
      <w:r>
        <w:rPr>
          <w:color w:val="444444"/>
          <w:sz w:val="22"/>
          <w:szCs w:val="22"/>
        </w:rPr>
        <w:t xml:space="preserve">Lawyer Dashboard: prioritised queue, case detail view with an “Approve &amp; File” button, and a side-by-side view of the raw record versus the structured extraction produced by the ingestion pipeline.</w:t>
      </w:r>
    </w:p>
    <w:p>
      <w:pPr>
        <w:pStyle w:val="ListParagraph"/>
        <w:numPr>
          <w:ilvl w:val="0"/>
          <w:numId w:val="2"/>
        </w:numPr>
        <w:spacing w:after="80" w:line="280"/>
      </w:pPr>
      <w:r>
        <w:rPr>
          <w:color w:val="444444"/>
          <w:sz w:val="22"/>
          <w:szCs w:val="22"/>
        </w:rPr>
        <w:t xml:space="preserve">Family / prisoner-facing view: multilingual plain-language explanation of case status, designed mobile-width for use during jail visits.</w:t>
      </w:r>
    </w:p>
    <w:p>
      <w:pPr>
        <w:pStyle w:val="ListParagraph"/>
        <w:numPr>
          <w:ilvl w:val="0"/>
          <w:numId w:val="2"/>
        </w:numPr>
        <w:spacing w:after="80" w:line="280"/>
      </w:pPr>
      <w:r>
        <w:rPr>
          <w:color w:val="444444"/>
          <w:sz w:val="22"/>
          <w:szCs w:val="22"/>
        </w:rPr>
        <w:t xml:space="preserve">Agent activity log panel: a live feed showing each agent firing with timestamps as a given case moves through the pipeline — this is what visually proves the system is genuinely agentic, rather than just claiming it.</w:t>
      </w:r>
    </w:p>
    <w:p>
      <w:pPr>
        <w:pStyle w:val="Heading2"/>
        <w:spacing w:after="160" w:before="360"/>
      </w:pPr>
      <w:r>
        <w:rPr>
          <w:b/>
          <w:bCs/>
          <w:color w:val="1F2A44"/>
          <w:sz w:val="26"/>
          <w:szCs w:val="26"/>
        </w:rPr>
        <w:t xml:space="preserve">4.3 Data Schemas and Prompt Templates</w:t>
      </w:r>
    </w:p>
    <w:p>
      <w:pPr>
        <w:pStyle w:val="Heading3"/>
        <w:spacing w:after="120" w:before="240"/>
      </w:pPr>
      <w:r>
        <w:rPr>
          <w:b/>
          <w:bCs/>
          <w:color w:val="B08D57"/>
          <w:sz w:val="22"/>
          <w:szCs w:val="22"/>
        </w:rPr>
        <w:t xml:space="preserve">Synthetic case record schema (JSON)</w:t>
      </w:r>
    </w:p>
    <w:p>
      <w:pPr>
        <w:pBdr>
          <w:top w:val="single" w:color="DDDDDD" w:sz="4"/>
          <w:bottom w:val="single" w:color="DDDDDD" w:sz="4"/>
          <w:left w:val="single" w:color="DDDDDD" w:sz="4"/>
          <w:right w:val="single" w:color="DDDDDD" w:sz="4"/>
        </w:pBdr>
        <w:shd w:fill="F7F5F0" w:val="clear"/>
        <w:spacing w:after="200"/>
      </w:pPr>
      <w:r>
        <w:rPr>
          <w:rFonts w:ascii="Courier New" w:cs="Courier New" w:eastAsia="Courier New" w:hAnsi="Courier New"/>
          <w:color w:val="333333"/>
          <w:sz w:val="18"/>
          <w:szCs w:val="18"/>
        </w:rPr>
        <w:t xml:space="preserve">{
  "case_id": "UTP-0007",
  "name": "synthetic - not a real person",
  "offense_sections": ["IPC 379"],
  "arrest_date": "2024-11-02",
  "custody_days": 410,
  "max_sentence_days_for_offense": 730,
  "prior_bail_orders": [],
  "required_docs": ["remand_order", "charge_sheet", "prior_bail_order_if_any"],
  "present_docs": ["remand_order", "charge_sheet"],
  "urgency_flags": {"age": 63, "health_flag": true, "repeat_offender": false},
  "jail_location": "District Jail, synthetic",
  "preferred_language": "hi"
}</w:t>
      </w:r>
    </w:p>
    <w:p>
      <w:pPr>
        <w:spacing w:after="160" w:line="300"/>
      </w:pPr>
      <w:r>
        <w:rPr>
          <w:color w:val="444444"/>
          <w:sz w:val="22"/>
          <w:szCs w:val="22"/>
        </w:rPr>
        <w:t xml:space="preserve">Recommended dataset composition for development and demonstration: 15–20 synthetic records in total. Of these, 5 should be hand-crafted “hero cases” deliberately engineered to hit each agent's key decision branch cleanly — clean-eligible, eligible-but-missing-documents, not-yet-eligible, urgent/elderly, and a multi-FIR edge case — with the remaining 10–15 varied records used purely to make the case queue look and feel realistic.</w:t>
      </w:r>
    </w:p>
    <w:p>
      <w:pPr>
        <w:pStyle w:val="Heading3"/>
        <w:spacing w:after="120" w:before="240"/>
      </w:pPr>
      <w:r>
        <w:rPr>
          <w:b/>
          <w:bCs/>
          <w:color w:val="B08D57"/>
          <w:sz w:val="22"/>
          <w:szCs w:val="22"/>
        </w:rPr>
        <w:t xml:space="preserve">Drafting Agent — prompt template</w:t>
      </w:r>
    </w:p>
    <w:p>
      <w:pPr>
        <w:pBdr>
          <w:top w:val="single" w:color="DDDDDD" w:sz="4"/>
          <w:bottom w:val="single" w:color="DDDDDD" w:sz="4"/>
          <w:left w:val="single" w:color="DDDDDD" w:sz="4"/>
          <w:right w:val="single" w:color="DDDDDD" w:sz="4"/>
        </w:pBdr>
        <w:shd w:fill="F7F5F0" w:val="clear"/>
        <w:spacing w:after="200"/>
      </w:pPr>
      <w:r>
        <w:rPr>
          <w:rFonts w:ascii="Courier New" w:cs="Courier New" w:eastAsia="Courier New" w:hAnsi="Courier New"/>
          <w:color w:val="333333"/>
          <w:sz w:val="18"/>
          <w:szCs w:val="18"/>
        </w:rPr>
        <w:t xml:space="preserve">System: You are drafting a bail application for a legal-aid lawyer's review.
Use ONLY the retrieved statute/precedent text provided — do not add legal
claims not present in it. Flag clearly if a required fact is missing rather
than inferring it.
Case facts: {structured_case_json}
Retrieved statute/precedent: {top_k_chunks}
Task: Draft a bail application in [required legal format], citing the
specific retrieved section.</w:t>
      </w:r>
    </w:p>
    <w:p>
      <w:pPr>
        <w:pStyle w:val="Heading3"/>
        <w:spacing w:after="120" w:before="240"/>
      </w:pPr>
      <w:r>
        <w:rPr>
          <w:b/>
          <w:bCs/>
          <w:color w:val="B08D57"/>
          <w:sz w:val="22"/>
          <w:szCs w:val="22"/>
        </w:rPr>
        <w:t xml:space="preserve">Multilingual Explainer Agent — prompt template</w:t>
      </w:r>
    </w:p>
    <w:p>
      <w:pPr>
        <w:pBdr>
          <w:top w:val="single" w:color="DDDDDD" w:sz="4"/>
          <w:bottom w:val="single" w:color="DDDDDD" w:sz="4"/>
          <w:left w:val="single" w:color="DDDDDD" w:sz="4"/>
          <w:right w:val="single" w:color="DDDDDD" w:sz="4"/>
        </w:pBdr>
        <w:shd w:fill="F7F5F0" w:val="clear"/>
        <w:spacing w:after="200"/>
      </w:pPr>
      <w:r>
        <w:rPr>
          <w:rFonts w:ascii="Courier New" w:cs="Courier New" w:eastAsia="Courier New" w:hAnsi="Courier New"/>
          <w:color w:val="333333"/>
          <w:sz w:val="18"/>
          <w:szCs w:val="18"/>
        </w:rPr>
        <w:t xml:space="preserve">System: Explain the following legal status in simple, non-legal
{target_language}, suitable for reading aloud to a family member with no
legal background. No jargon. Under 150 words.
Facts: {eligibility_result}, {days_overdue}, {next_step}</w:t>
      </w:r>
    </w:p>
    <w:p>
      <w:pPr>
        <w:spacing w:after="160" w:line="300"/>
      </w:pPr>
      <w:r>
        <w:rPr>
          <w:color w:val="444444"/>
          <w:sz w:val="22"/>
          <w:szCs w:val="22"/>
        </w:rPr>
        <w:t xml:space="preserve">Keep every prompt in a single dedicated file (e.g., prompts.py, or separate .txt files) rather than hardcoded inline inside agent logic — this allows prompt wording to be tuned quickly without touching the underlying agent code.</w:t>
      </w:r>
    </w:p>
    <w:p>
      <w:pPr>
        <w:pStyle w:val="Heading2"/>
        <w:spacing w:after="160" w:before="360"/>
      </w:pPr>
      <w:r>
        <w:rPr>
          <w:b/>
          <w:bCs/>
          <w:color w:val="1F2A44"/>
          <w:sz w:val="26"/>
          <w:szCs w:val="26"/>
        </w:rPr>
        <w:t xml:space="preserve">4.4 Build Roadmap — Phase by Phase</w:t>
      </w:r>
    </w:p>
    <w:p>
      <w:pPr>
        <w:spacing w:after="160" w:line="300"/>
      </w:pPr>
      <w:r>
        <w:rPr>
          <w:color w:val="444444"/>
          <w:sz w:val="22"/>
          <w:szCs w:val="22"/>
        </w:rPr>
        <w:t xml:space="preserve">The following phased plan assumes a 36-hour build window, as used for the original hackathon context. A team with a different timeline should keep the phase order and dependency structure but rescale the hour ranges.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4200"/>
        <w:gridCol w:w="1660"/>
      </w:tblGrid>
      <w:tr>
        <w:trPr>
          <w:tblHeader/>
        </w:trPr>
        <w:tc>
          <w:tcPr>
            <w:tcW w:type="dxa" w:w="2600"/>
            <w:shd w:fill="1F2A44" w:val="clear"/>
            <w:tcMar>
              <w:top w:type="dxa" w:w="100"/>
              <w:left w:type="dxa" w:w="120"/>
              <w:bottom w:type="dxa" w:w="100"/>
              <w:right w:type="dxa" w:w="120"/>
            </w:tcMar>
          </w:tcPr>
          <w:p>
            <w:r>
              <w:rPr>
                <w:b/>
                <w:bCs/>
                <w:color w:val="FFFFFF"/>
                <w:sz w:val="20"/>
                <w:szCs w:val="20"/>
              </w:rPr>
              <w:t xml:space="preserve">Phase</w:t>
            </w:r>
          </w:p>
        </w:tc>
        <w:tc>
          <w:tcPr>
            <w:tcW w:type="dxa" w:w="1200"/>
            <w:shd w:fill="1F2A44" w:val="clear"/>
            <w:tcMar>
              <w:top w:type="dxa" w:w="100"/>
              <w:left w:type="dxa" w:w="120"/>
              <w:bottom w:type="dxa" w:w="100"/>
              <w:right w:type="dxa" w:w="120"/>
            </w:tcMar>
          </w:tcPr>
          <w:p>
            <w:r>
              <w:rPr>
                <w:b/>
                <w:bCs/>
                <w:color w:val="FFFFFF"/>
                <w:sz w:val="20"/>
                <w:szCs w:val="20"/>
              </w:rPr>
              <w:t xml:space="preserve">Hours</w:t>
            </w:r>
          </w:p>
        </w:tc>
        <w:tc>
          <w:tcPr>
            <w:tcW w:type="dxa" w:w="4200"/>
            <w:shd w:fill="1F2A44" w:val="clear"/>
            <w:tcMar>
              <w:top w:type="dxa" w:w="100"/>
              <w:left w:type="dxa" w:w="120"/>
              <w:bottom w:type="dxa" w:w="100"/>
              <w:right w:type="dxa" w:w="120"/>
            </w:tcMar>
          </w:tcPr>
          <w:p>
            <w:r>
              <w:rPr>
                <w:b/>
                <w:bCs/>
                <w:color w:val="FFFFFF"/>
                <w:sz w:val="20"/>
                <w:szCs w:val="20"/>
              </w:rPr>
              <w:t xml:space="preserve">Focus</w:t>
            </w:r>
          </w:p>
        </w:tc>
        <w:tc>
          <w:tcPr>
            <w:tcW w:type="dxa" w:w="1660"/>
            <w:shd w:fill="1F2A44" w:val="clear"/>
            <w:tcMar>
              <w:top w:type="dxa" w:w="100"/>
              <w:left w:type="dxa" w:w="120"/>
              <w:bottom w:type="dxa" w:w="100"/>
              <w:right w:type="dxa" w:w="120"/>
            </w:tcMar>
          </w:tcPr>
          <w:p>
            <w:r>
              <w:rPr>
                <w:b/>
                <w:bCs/>
                <w:color w:val="FFFFFF"/>
                <w:sz w:val="20"/>
                <w:szCs w:val="20"/>
              </w:rPr>
              <w:t xml:space="preserve">Primary owner(s)</w:t>
            </w:r>
          </w:p>
        </w:tc>
      </w:tr>
      <w:tr>
        <w:tc>
          <w:tcPr>
            <w:tcW w:type="dxa" w:w="2600"/>
            <w:tcMar>
              <w:top w:type="dxa" w:w="100"/>
              <w:left w:type="dxa" w:w="120"/>
              <w:bottom w:type="dxa" w:w="100"/>
              <w:right w:type="dxa" w:w="120"/>
            </w:tcMar>
          </w:tcPr>
          <w:p>
            <w:r>
              <w:rPr>
                <w:b w:val="false"/>
                <w:bCs w:val="false"/>
                <w:color w:val="444444"/>
                <w:sz w:val="20"/>
                <w:szCs w:val="20"/>
              </w:rPr>
              <w:t xml:space="preserve">Phase 0 — Setup</w:t>
            </w:r>
          </w:p>
        </w:tc>
        <w:tc>
          <w:tcPr>
            <w:tcW w:type="dxa" w:w="1200"/>
            <w:tcMar>
              <w:top w:type="dxa" w:w="100"/>
              <w:left w:type="dxa" w:w="120"/>
              <w:bottom w:type="dxa" w:w="100"/>
              <w:right w:type="dxa" w:w="120"/>
            </w:tcMar>
          </w:tcPr>
          <w:p>
            <w:r>
              <w:rPr>
                <w:b w:val="false"/>
                <w:bCs w:val="false"/>
                <w:color w:val="444444"/>
                <w:sz w:val="20"/>
                <w:szCs w:val="20"/>
              </w:rPr>
              <w:t xml:space="preserve">0–2</w:t>
            </w:r>
          </w:p>
        </w:tc>
        <w:tc>
          <w:tcPr>
            <w:tcW w:type="dxa" w:w="4200"/>
            <w:tcMar>
              <w:top w:type="dxa" w:w="100"/>
              <w:left w:type="dxa" w:w="120"/>
              <w:bottom w:type="dxa" w:w="100"/>
              <w:right w:type="dxa" w:w="120"/>
            </w:tcMar>
          </w:tcPr>
          <w:p>
            <w:r>
              <w:rPr>
                <w:b w:val="false"/>
                <w:bCs w:val="false"/>
                <w:color w:val="444444"/>
                <w:sz w:val="20"/>
                <w:szCs w:val="20"/>
              </w:rPr>
              <w:t xml:space="preserve">Repo skeleton, environments, llm_client.py stub, shared task board</w:t>
            </w:r>
          </w:p>
        </w:tc>
        <w:tc>
          <w:tcPr>
            <w:tcW w:type="dxa" w:w="1660"/>
            <w:tcMar>
              <w:top w:type="dxa" w:w="100"/>
              <w:left w:type="dxa" w:w="120"/>
              <w:bottom w:type="dxa" w:w="100"/>
              <w:right w:type="dxa" w:w="120"/>
            </w:tcMar>
          </w:tcPr>
          <w:p>
            <w:r>
              <w:rPr>
                <w:b w:val="false"/>
                <w:bCs w:val="false"/>
                <w:color w:val="444444"/>
                <w:sz w:val="20"/>
                <w:szCs w:val="20"/>
              </w:rPr>
              <w:t xml:space="preserve">Whole team</w:t>
            </w:r>
          </w:p>
        </w:tc>
      </w:tr>
      <w:tr>
        <w:tc>
          <w:tcPr>
            <w:tcW w:type="dxa" w:w="2600"/>
            <w:shd w:fill="F2F2F2" w:val="clear"/>
            <w:tcMar>
              <w:top w:type="dxa" w:w="100"/>
              <w:left w:type="dxa" w:w="120"/>
              <w:bottom w:type="dxa" w:w="100"/>
              <w:right w:type="dxa" w:w="120"/>
            </w:tcMar>
          </w:tcPr>
          <w:p>
            <w:r>
              <w:rPr>
                <w:b w:val="false"/>
                <w:bCs w:val="false"/>
                <w:color w:val="444444"/>
                <w:sz w:val="20"/>
                <w:szCs w:val="20"/>
              </w:rPr>
              <w:t xml:space="preserve">Phase 1 — Data &amp; Knowledge Layer</w:t>
            </w:r>
          </w:p>
        </w:tc>
        <w:tc>
          <w:tcPr>
            <w:tcW w:type="dxa" w:w="1200"/>
            <w:shd w:fill="F2F2F2" w:val="clear"/>
            <w:tcMar>
              <w:top w:type="dxa" w:w="100"/>
              <w:left w:type="dxa" w:w="120"/>
              <w:bottom w:type="dxa" w:w="100"/>
              <w:right w:type="dxa" w:w="120"/>
            </w:tcMar>
          </w:tcPr>
          <w:p>
            <w:r>
              <w:rPr>
                <w:b w:val="false"/>
                <w:bCs w:val="false"/>
                <w:color w:val="444444"/>
                <w:sz w:val="20"/>
                <w:szCs w:val="20"/>
              </w:rPr>
              <w:t xml:space="preserve">2–9</w:t>
            </w:r>
          </w:p>
        </w:tc>
        <w:tc>
          <w:tcPr>
            <w:tcW w:type="dxa" w:w="4200"/>
            <w:shd w:fill="F2F2F2" w:val="clear"/>
            <w:tcMar>
              <w:top w:type="dxa" w:w="100"/>
              <w:left w:type="dxa" w:w="120"/>
              <w:bottom w:type="dxa" w:w="100"/>
              <w:right w:type="dxa" w:w="120"/>
            </w:tcMar>
          </w:tcPr>
          <w:p>
            <w:r>
              <w:rPr>
                <w:b w:val="false"/>
                <w:bCs w:val="false"/>
                <w:color w:val="444444"/>
                <w:sz w:val="20"/>
                <w:szCs w:val="20"/>
              </w:rPr>
              <w:t xml:space="preserve">Synthetic case schema + records, statute corpus, ingestion pipeline, RAG indexing and retrieval sanity tests</w:t>
            </w:r>
          </w:p>
        </w:tc>
        <w:tc>
          <w:tcPr>
            <w:tcW w:type="dxa" w:w="1660"/>
            <w:shd w:fill="F2F2F2" w:val="clear"/>
            <w:tcMar>
              <w:top w:type="dxa" w:w="100"/>
              <w:left w:type="dxa" w:w="120"/>
              <w:bottom w:type="dxa" w:w="100"/>
              <w:right w:type="dxa" w:w="120"/>
            </w:tcMar>
          </w:tcPr>
          <w:p>
            <w:r>
              <w:rPr>
                <w:b w:val="false"/>
                <w:bCs w:val="false"/>
                <w:color w:val="444444"/>
                <w:sz w:val="20"/>
                <w:szCs w:val="20"/>
              </w:rPr>
              <w:t xml:space="preserve">Data lead + LLM lead</w:t>
            </w:r>
          </w:p>
        </w:tc>
      </w:tr>
      <w:tr>
        <w:tc>
          <w:tcPr>
            <w:tcW w:type="dxa" w:w="2600"/>
            <w:tcMar>
              <w:top w:type="dxa" w:w="100"/>
              <w:left w:type="dxa" w:w="120"/>
              <w:bottom w:type="dxa" w:w="100"/>
              <w:right w:type="dxa" w:w="120"/>
            </w:tcMar>
          </w:tcPr>
          <w:p>
            <w:r>
              <w:rPr>
                <w:b w:val="false"/>
                <w:bCs w:val="false"/>
                <w:color w:val="444444"/>
                <w:sz w:val="20"/>
                <w:szCs w:val="20"/>
              </w:rPr>
              <w:t xml:space="preserve">Phase 2 — Core Agent Logic</w:t>
            </w:r>
          </w:p>
        </w:tc>
        <w:tc>
          <w:tcPr>
            <w:tcW w:type="dxa" w:w="1200"/>
            <w:tcMar>
              <w:top w:type="dxa" w:w="100"/>
              <w:left w:type="dxa" w:w="120"/>
              <w:bottom w:type="dxa" w:w="100"/>
              <w:right w:type="dxa" w:w="120"/>
            </w:tcMar>
          </w:tcPr>
          <w:p>
            <w:r>
              <w:rPr>
                <w:b w:val="false"/>
                <w:bCs w:val="false"/>
                <w:color w:val="444444"/>
                <w:sz w:val="20"/>
                <w:szCs w:val="20"/>
              </w:rPr>
              <w:t xml:space="preserve">9–22</w:t>
            </w:r>
          </w:p>
        </w:tc>
        <w:tc>
          <w:tcPr>
            <w:tcW w:type="dxa" w:w="4200"/>
            <w:tcMar>
              <w:top w:type="dxa" w:w="100"/>
              <w:left w:type="dxa" w:w="120"/>
              <w:bottom w:type="dxa" w:w="100"/>
              <w:right w:type="dxa" w:w="120"/>
            </w:tcMar>
          </w:tcPr>
          <w:p>
            <w:r>
              <w:rPr>
                <w:b w:val="false"/>
                <w:bCs w:val="false"/>
                <w:color w:val="444444"/>
                <w:sz w:val="20"/>
                <w:szCs w:val="20"/>
              </w:rPr>
              <w:t xml:space="preserve">Build and standalone-test all 8 agents, then wire into orchestrator with human-approval gate</w:t>
            </w:r>
          </w:p>
        </w:tc>
        <w:tc>
          <w:tcPr>
            <w:tcW w:type="dxa" w:w="1660"/>
            <w:tcMar>
              <w:top w:type="dxa" w:w="100"/>
              <w:left w:type="dxa" w:w="120"/>
              <w:bottom w:type="dxa" w:w="100"/>
              <w:right w:type="dxa" w:w="120"/>
            </w:tcMar>
          </w:tcPr>
          <w:p>
            <w:r>
              <w:rPr>
                <w:b w:val="false"/>
                <w:bCs w:val="false"/>
                <w:color w:val="444444"/>
                <w:sz w:val="20"/>
                <w:szCs w:val="20"/>
              </w:rPr>
              <w:t xml:space="preserve">Backend lead + LLM lead</w:t>
            </w:r>
          </w:p>
        </w:tc>
      </w:tr>
      <w:tr>
        <w:tc>
          <w:tcPr>
            <w:tcW w:type="dxa" w:w="2600"/>
            <w:shd w:fill="F2F2F2" w:val="clear"/>
            <w:tcMar>
              <w:top w:type="dxa" w:w="100"/>
              <w:left w:type="dxa" w:w="120"/>
              <w:bottom w:type="dxa" w:w="100"/>
              <w:right w:type="dxa" w:w="120"/>
            </w:tcMar>
          </w:tcPr>
          <w:p>
            <w:r>
              <w:rPr>
                <w:b w:val="false"/>
                <w:bCs w:val="false"/>
                <w:color w:val="444444"/>
                <w:sz w:val="20"/>
                <w:szCs w:val="20"/>
              </w:rPr>
              <w:t xml:space="preserve">Phase 3 — Interfaces</w:t>
            </w:r>
          </w:p>
        </w:tc>
        <w:tc>
          <w:tcPr>
            <w:tcW w:type="dxa" w:w="1200"/>
            <w:shd w:fill="F2F2F2" w:val="clear"/>
            <w:tcMar>
              <w:top w:type="dxa" w:w="100"/>
              <w:left w:type="dxa" w:w="120"/>
              <w:bottom w:type="dxa" w:w="100"/>
              <w:right w:type="dxa" w:w="120"/>
            </w:tcMar>
          </w:tcPr>
          <w:p>
            <w:r>
              <w:rPr>
                <w:b w:val="false"/>
                <w:bCs w:val="false"/>
                <w:color w:val="444444"/>
                <w:sz w:val="20"/>
                <w:szCs w:val="20"/>
              </w:rPr>
              <w:t xml:space="preserve">18–30</w:t>
            </w:r>
          </w:p>
        </w:tc>
        <w:tc>
          <w:tcPr>
            <w:tcW w:type="dxa" w:w="4200"/>
            <w:shd w:fill="F2F2F2" w:val="clear"/>
            <w:tcMar>
              <w:top w:type="dxa" w:w="100"/>
              <w:left w:type="dxa" w:w="120"/>
              <w:bottom w:type="dxa" w:w="100"/>
              <w:right w:type="dxa" w:w="120"/>
            </w:tcMar>
          </w:tcPr>
          <w:p>
            <w:r>
              <w:rPr>
                <w:b w:val="false"/>
                <w:bCs w:val="false"/>
                <w:color w:val="444444"/>
                <w:sz w:val="20"/>
                <w:szCs w:val="20"/>
              </w:rPr>
              <w:t xml:space="preserve">Lawyer dashboard, family view, live agent-activity log panel; backend hooks</w:t>
            </w:r>
          </w:p>
        </w:tc>
        <w:tc>
          <w:tcPr>
            <w:tcW w:type="dxa" w:w="1660"/>
            <w:shd w:fill="F2F2F2" w:val="clear"/>
            <w:tcMar>
              <w:top w:type="dxa" w:w="100"/>
              <w:left w:type="dxa" w:w="120"/>
              <w:bottom w:type="dxa" w:w="100"/>
              <w:right w:type="dxa" w:w="120"/>
            </w:tcMar>
          </w:tcPr>
          <w:p>
            <w:r>
              <w:rPr>
                <w:b w:val="false"/>
                <w:bCs w:val="false"/>
                <w:color w:val="444444"/>
                <w:sz w:val="20"/>
                <w:szCs w:val="20"/>
              </w:rPr>
              <w:t xml:space="preserve">Frontend lead</w:t>
            </w:r>
          </w:p>
        </w:tc>
      </w:tr>
      <w:tr>
        <w:tc>
          <w:tcPr>
            <w:tcW w:type="dxa" w:w="2600"/>
            <w:tcMar>
              <w:top w:type="dxa" w:w="100"/>
              <w:left w:type="dxa" w:w="120"/>
              <w:bottom w:type="dxa" w:w="100"/>
              <w:right w:type="dxa" w:w="120"/>
            </w:tcMar>
          </w:tcPr>
          <w:p>
            <w:r>
              <w:rPr>
                <w:b w:val="false"/>
                <w:bCs w:val="false"/>
                <w:color w:val="444444"/>
                <w:sz w:val="20"/>
                <w:szCs w:val="20"/>
              </w:rPr>
              <w:t xml:space="preserve">Phase 4 — Integration &amp; Hardening</w:t>
            </w:r>
          </w:p>
        </w:tc>
        <w:tc>
          <w:tcPr>
            <w:tcW w:type="dxa" w:w="1200"/>
            <w:tcMar>
              <w:top w:type="dxa" w:w="100"/>
              <w:left w:type="dxa" w:w="120"/>
              <w:bottom w:type="dxa" w:w="100"/>
              <w:right w:type="dxa" w:w="120"/>
            </w:tcMar>
          </w:tcPr>
          <w:p>
            <w:r>
              <w:rPr>
                <w:b w:val="false"/>
                <w:bCs w:val="false"/>
                <w:color w:val="444444"/>
                <w:sz w:val="20"/>
                <w:szCs w:val="20"/>
              </w:rPr>
              <w:t xml:space="preserve">30–33</w:t>
            </w:r>
          </w:p>
        </w:tc>
        <w:tc>
          <w:tcPr>
            <w:tcW w:type="dxa" w:w="4200"/>
            <w:tcMar>
              <w:top w:type="dxa" w:w="100"/>
              <w:left w:type="dxa" w:w="120"/>
              <w:bottom w:type="dxa" w:w="100"/>
              <w:right w:type="dxa" w:w="120"/>
            </w:tcMar>
          </w:tcPr>
          <w:p>
            <w:r>
              <w:rPr>
                <w:b w:val="false"/>
                <w:bCs w:val="false"/>
                <w:color w:val="444444"/>
                <w:sz w:val="20"/>
                <w:szCs w:val="20"/>
              </w:rPr>
              <w:t xml:space="preserve">End-to-end run of all hero cases, forced-failure test of LLM fallback, error/empty states</w:t>
            </w:r>
          </w:p>
        </w:tc>
        <w:tc>
          <w:tcPr>
            <w:tcW w:type="dxa" w:w="1660"/>
            <w:tcMar>
              <w:top w:type="dxa" w:w="100"/>
              <w:left w:type="dxa" w:w="120"/>
              <w:bottom w:type="dxa" w:w="100"/>
              <w:right w:type="dxa" w:w="120"/>
            </w:tcMar>
          </w:tcPr>
          <w:p>
            <w:r>
              <w:rPr>
                <w:b w:val="false"/>
                <w:bCs w:val="false"/>
                <w:color w:val="444444"/>
                <w:sz w:val="20"/>
                <w:szCs w:val="20"/>
              </w:rPr>
              <w:t xml:space="preserve">Whole team</w:t>
            </w:r>
          </w:p>
        </w:tc>
      </w:tr>
      <w:tr>
        <w:tc>
          <w:tcPr>
            <w:tcW w:type="dxa" w:w="2600"/>
            <w:shd w:fill="F2F2F2" w:val="clear"/>
            <w:tcMar>
              <w:top w:type="dxa" w:w="100"/>
              <w:left w:type="dxa" w:w="120"/>
              <w:bottom w:type="dxa" w:w="100"/>
              <w:right w:type="dxa" w:w="120"/>
            </w:tcMar>
          </w:tcPr>
          <w:p>
            <w:r>
              <w:rPr>
                <w:b w:val="false"/>
                <w:bCs w:val="false"/>
                <w:color w:val="444444"/>
                <w:sz w:val="20"/>
                <w:szCs w:val="20"/>
              </w:rPr>
              <w:t xml:space="preserve">Phase 5 — Polish &amp; Demo Prep</w:t>
            </w:r>
          </w:p>
        </w:tc>
        <w:tc>
          <w:tcPr>
            <w:tcW w:type="dxa" w:w="1200"/>
            <w:shd w:fill="F2F2F2" w:val="clear"/>
            <w:tcMar>
              <w:top w:type="dxa" w:w="100"/>
              <w:left w:type="dxa" w:w="120"/>
              <w:bottom w:type="dxa" w:w="100"/>
              <w:right w:type="dxa" w:w="120"/>
            </w:tcMar>
          </w:tcPr>
          <w:p>
            <w:r>
              <w:rPr>
                <w:b w:val="false"/>
                <w:bCs w:val="false"/>
                <w:color w:val="444444"/>
                <w:sz w:val="20"/>
                <w:szCs w:val="20"/>
              </w:rPr>
              <w:t xml:space="preserve">33–36</w:t>
            </w:r>
          </w:p>
        </w:tc>
        <w:tc>
          <w:tcPr>
            <w:tcW w:type="dxa" w:w="4200"/>
            <w:shd w:fill="F2F2F2" w:val="clear"/>
            <w:tcMar>
              <w:top w:type="dxa" w:w="100"/>
              <w:left w:type="dxa" w:w="120"/>
              <w:bottom w:type="dxa" w:w="100"/>
              <w:right w:type="dxa" w:w="120"/>
            </w:tcMar>
          </w:tcPr>
          <w:p>
            <w:r>
              <w:rPr>
                <w:b w:val="false"/>
                <w:bCs w:val="false"/>
                <w:color w:val="444444"/>
                <w:sz w:val="20"/>
                <w:szCs w:val="20"/>
              </w:rPr>
              <w:t xml:space="preserve">Visual polish, architecture diagram update, README with “live vs. simulated” section, rehearsal</w:t>
            </w:r>
          </w:p>
        </w:tc>
        <w:tc>
          <w:tcPr>
            <w:tcW w:type="dxa" w:w="1660"/>
            <w:shd w:fill="F2F2F2" w:val="clear"/>
            <w:tcMar>
              <w:top w:type="dxa" w:w="100"/>
              <w:left w:type="dxa" w:w="120"/>
              <w:bottom w:type="dxa" w:w="100"/>
              <w:right w:type="dxa" w:w="120"/>
            </w:tcMar>
          </w:tcPr>
          <w:p>
            <w:r>
              <w:rPr>
                <w:b w:val="false"/>
                <w:bCs w:val="false"/>
                <w:color w:val="444444"/>
                <w:sz w:val="20"/>
                <w:szCs w:val="20"/>
              </w:rPr>
              <w:t xml:space="preserve">Whole team</w:t>
            </w:r>
          </w:p>
        </w:tc>
      </w:tr>
    </w:tbl>
    <w:p>
      <w:pPr>
        <w:spacing w:after="160" w:line="300"/>
      </w:pPr>
      <w:r>
        <w:rPr>
          <w:color w:val="444444"/>
          <w:sz w:val="22"/>
          <w:szCs w:val="22"/>
        </w:rPr>
        <w:t xml:space="preserve"/>
      </w:r>
    </w:p>
    <w:p>
      <w:pPr>
        <w:pStyle w:val="Heading3"/>
        <w:spacing w:after="120" w:before="240"/>
      </w:pPr>
      <w:r>
        <w:rPr>
          <w:b/>
          <w:bCs/>
          <w:color w:val="B08D57"/>
          <w:sz w:val="22"/>
          <w:szCs w:val="22"/>
        </w:rPr>
        <w:t xml:space="preserve">Key process discipline points</w:t>
      </w:r>
    </w:p>
    <w:p>
      <w:pPr>
        <w:pStyle w:val="ListParagraph"/>
        <w:numPr>
          <w:ilvl w:val="0"/>
          <w:numId w:val="2"/>
        </w:numPr>
        <w:spacing w:after="80" w:line="280"/>
      </w:pPr>
      <w:r>
        <w:rPr>
          <w:color w:val="444444"/>
          <w:sz w:val="22"/>
          <w:szCs w:val="22"/>
        </w:rPr>
        <w:t xml:space="preserve">Test each agent standalone, with one hero case fed through it and its output printed and confirmed correct, before it is wired into the orchestrator. This avoids a late-stage debugging spiral where it is unclear which of eight agents has broken.</w:t>
      </w:r>
    </w:p>
    <w:p>
      <w:pPr>
        <w:pStyle w:val="ListParagraph"/>
        <w:numPr>
          <w:ilvl w:val="0"/>
          <w:numId w:val="2"/>
        </w:numPr>
        <w:spacing w:after="80" w:line="280"/>
      </w:pPr>
      <w:r>
        <w:rPr>
          <w:color w:val="444444"/>
          <w:sz w:val="22"/>
          <w:szCs w:val="22"/>
        </w:rPr>
        <w:t xml:space="preserve">Sanity-test RAG retrieval with a handful of test queries and confirm the correct clause is returned before building agents on top of it — debugging bad retrieval is much harder once agents already wrap it.</w:t>
      </w:r>
    </w:p>
    <w:p>
      <w:pPr>
        <w:pStyle w:val="ListParagraph"/>
        <w:numPr>
          <w:ilvl w:val="0"/>
          <w:numId w:val="2"/>
        </w:numPr>
        <w:spacing w:after="80" w:line="280"/>
      </w:pPr>
      <w:r>
        <w:rPr>
          <w:color w:val="444444"/>
          <w:sz w:val="22"/>
          <w:szCs w:val="22"/>
        </w:rPr>
        <w:t xml:space="preserve">Hold two short whole-team checkpoint meetings: one roughly at the two-thirds mark of the agent-build phase (are all agents individually tested and passing?), and one near the end of integration (does the full pipeline run end-to-end without manual intervention?). If not, fall back to pre-computed/cached outputs for the demo rather than risking a live run.</w:t>
      </w:r>
    </w:p>
    <w:p>
      <w:pPr>
        <w:pStyle w:val="Heading3"/>
        <w:spacing w:after="120" w:before="240"/>
      </w:pPr>
      <w:r>
        <w:rPr>
          <w:b/>
          <w:bCs/>
          <w:color w:val="B08D57"/>
          <w:sz w:val="22"/>
          <w:szCs w:val="22"/>
        </w:rPr>
        <w:t xml:space="preserve">Ground rules to carry through the whole build</w:t>
      </w:r>
    </w:p>
    <w:p>
      <w:pPr>
        <w:pStyle w:val="ListParagraph"/>
        <w:numPr>
          <w:ilvl w:val="0"/>
          <w:numId w:val="2"/>
        </w:numPr>
        <w:spacing w:after="80" w:line="280"/>
      </w:pPr>
      <w:r>
        <w:rPr>
          <w:color w:val="444444"/>
          <w:sz w:val="22"/>
          <w:szCs w:val="22"/>
        </w:rPr>
        <w:t xml:space="preserve">Use synthetic data only — never source or simulate real prisoner names or records.</w:t>
      </w:r>
    </w:p>
    <w:p>
      <w:pPr>
        <w:pStyle w:val="ListParagraph"/>
        <w:numPr>
          <w:ilvl w:val="0"/>
          <w:numId w:val="2"/>
        </w:numPr>
        <w:spacing w:after="80" w:line="280"/>
      </w:pPr>
      <w:r>
        <w:rPr>
          <w:color w:val="444444"/>
          <w:sz w:val="22"/>
          <w:szCs w:val="22"/>
        </w:rPr>
        <w:t xml:space="preserve">Be explicit about what is live versus simulated, especially post-filing status tracking, since no public court-record API exists to integrate against in a short build window. Label this clearly rather than hiding it — overclaiming is penalised far more heavily than an honestly-scoped mock.</w:t>
      </w:r>
    </w:p>
    <w:p>
      <w:pPr>
        <w:pStyle w:val="ListParagraph"/>
        <w:numPr>
          <w:ilvl w:val="0"/>
          <w:numId w:val="2"/>
        </w:numPr>
        <w:spacing w:after="80" w:line="280"/>
      </w:pPr>
      <w:r>
        <w:rPr>
          <w:color w:val="444444"/>
          <w:sz w:val="22"/>
          <w:szCs w:val="22"/>
        </w:rPr>
        <w:t xml:space="preserve">The eligibility decision must never be made by an LLM — implement it as a deterministic rule in ordinary code. The LLM's role is limited to explaining, retrieving, and drafting; it never decides.</w:t>
      </w:r>
    </w:p>
    <w:p>
      <w:pPr>
        <w:pStyle w:val="ListParagraph"/>
        <w:numPr>
          <w:ilvl w:val="0"/>
          <w:numId w:val="2"/>
        </w:numPr>
        <w:spacing w:after="80" w:line="280"/>
      </w:pPr>
      <w:r>
        <w:rPr>
          <w:color w:val="444444"/>
          <w:sz w:val="22"/>
          <w:szCs w:val="22"/>
        </w:rPr>
        <w:t xml:space="preserve">The human-lawyer sign-off must be built as an actual UI gate/button in the working system, not merely asserted as a slide claim.</w:t>
      </w:r>
    </w:p>
    <w:p>
      <w:pPr>
        <w:pStyle w:val="Heading2"/>
        <w:spacing w:after="160" w:before="360"/>
      </w:pPr>
      <w:r>
        <w:rPr>
          <w:b/>
          <w:bCs/>
          <w:color w:val="1F2A44"/>
          <w:sz w:val="26"/>
          <w:szCs w:val="26"/>
        </w:rPr>
        <w:t xml:space="preserve">4.5 Team Roles and Coordination</w:t>
      </w:r>
    </w:p>
    <w:p>
      <w:pPr>
        <w:spacing w:after="160" w:line="300"/>
      </w:pPr>
      <w:r>
        <w:rPr>
          <w:color w:val="444444"/>
          <w:sz w:val="22"/>
          <w:szCs w:val="22"/>
        </w:rPr>
        <w:t xml:space="preserve">The original team structure, provided as a reference model for dividing work across four contributors: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60"/>
      </w:tblGrid>
      <w:tr>
        <w:trPr>
          <w:tblHeader/>
        </w:trPr>
        <w:tc>
          <w:tcPr>
            <w:tcW w:type="dxa" w:w="2400"/>
            <w:shd w:fill="1F2A44" w:val="clear"/>
            <w:tcMar>
              <w:top w:type="dxa" w:w="100"/>
              <w:left w:type="dxa" w:w="120"/>
              <w:bottom w:type="dxa" w:w="100"/>
              <w:right w:type="dxa" w:w="120"/>
            </w:tcMar>
          </w:tcPr>
          <w:p>
            <w:r>
              <w:rPr>
                <w:b/>
                <w:bCs/>
                <w:color w:val="FFFFFF"/>
                <w:sz w:val="20"/>
                <w:szCs w:val="20"/>
              </w:rPr>
              <w:t xml:space="preserve">Member</w:t>
            </w:r>
          </w:p>
        </w:tc>
        <w:tc>
          <w:tcPr>
            <w:tcW w:type="dxa" w:w="4200"/>
            <w:shd w:fill="1F2A44" w:val="clear"/>
            <w:tcMar>
              <w:top w:type="dxa" w:w="100"/>
              <w:left w:type="dxa" w:w="120"/>
              <w:bottom w:type="dxa" w:w="100"/>
              <w:right w:type="dxa" w:w="120"/>
            </w:tcMar>
          </w:tcPr>
          <w:p>
            <w:r>
              <w:rPr>
                <w:b/>
                <w:bCs/>
                <w:color w:val="FFFFFF"/>
                <w:sz w:val="20"/>
                <w:szCs w:val="20"/>
              </w:rPr>
              <w:t xml:space="preserve">Primary owns</w:t>
            </w:r>
          </w:p>
        </w:tc>
        <w:tc>
          <w:tcPr>
            <w:tcW w:type="dxa" w:w="3060"/>
            <w:shd w:fill="1F2A44" w:val="clear"/>
            <w:tcMar>
              <w:top w:type="dxa" w:w="100"/>
              <w:left w:type="dxa" w:w="120"/>
              <w:bottom w:type="dxa" w:w="100"/>
              <w:right w:type="dxa" w:w="120"/>
            </w:tcMar>
          </w:tcPr>
          <w:p>
            <w:r>
              <w:rPr>
                <w:b/>
                <w:bCs/>
                <w:color w:val="FFFFFF"/>
                <w:sz w:val="20"/>
                <w:szCs w:val="20"/>
              </w:rPr>
              <w:t xml:space="preserve">Secondary</w:t>
            </w:r>
          </w:p>
        </w:tc>
      </w:tr>
      <w:tr>
        <w:tc>
          <w:tcPr>
            <w:tcW w:type="dxa" w:w="2400"/>
            <w:tcMar>
              <w:top w:type="dxa" w:w="100"/>
              <w:left w:type="dxa" w:w="120"/>
              <w:bottom w:type="dxa" w:w="100"/>
              <w:right w:type="dxa" w:w="120"/>
            </w:tcMar>
          </w:tcPr>
          <w:p>
            <w:r>
              <w:rPr>
                <w:b w:val="false"/>
                <w:bCs w:val="false"/>
                <w:color w:val="444444"/>
                <w:sz w:val="20"/>
                <w:szCs w:val="20"/>
              </w:rPr>
              <w:t xml:space="preserve">Sathwik G</w:t>
            </w:r>
          </w:p>
        </w:tc>
        <w:tc>
          <w:tcPr>
            <w:tcW w:type="dxa" w:w="4200"/>
            <w:tcMar>
              <w:top w:type="dxa" w:w="100"/>
              <w:left w:type="dxa" w:w="120"/>
              <w:bottom w:type="dxa" w:w="100"/>
              <w:right w:type="dxa" w:w="120"/>
            </w:tcMar>
          </w:tcPr>
          <w:p>
            <w:r>
              <w:rPr>
                <w:b w:val="false"/>
                <w:bCs w:val="false"/>
                <w:color w:val="444444"/>
                <w:sz w:val="20"/>
                <w:szCs w:val="20"/>
              </w:rPr>
              <w:t xml:space="preserve">Backend orchestration — agent pipeline, orchestrator, FastAPI wiring</w:t>
            </w:r>
          </w:p>
        </w:tc>
        <w:tc>
          <w:tcPr>
            <w:tcW w:type="dxa" w:w="3060"/>
            <w:tcMar>
              <w:top w:type="dxa" w:w="100"/>
              <w:left w:type="dxa" w:w="120"/>
              <w:bottom w:type="dxa" w:w="100"/>
              <w:right w:type="dxa" w:w="120"/>
            </w:tcMar>
          </w:tcPr>
          <w:p>
            <w:r>
              <w:rPr>
                <w:b w:val="false"/>
                <w:bCs w:val="false"/>
                <w:color w:val="444444"/>
                <w:sz w:val="20"/>
                <w:szCs w:val="20"/>
              </w:rPr>
              <w:t xml:space="preserve">Integration testing</w:t>
            </w:r>
          </w:p>
        </w:tc>
      </w:tr>
      <w:tr>
        <w:tc>
          <w:tcPr>
            <w:tcW w:type="dxa" w:w="2400"/>
            <w:shd w:fill="F2F2F2" w:val="clear"/>
            <w:tcMar>
              <w:top w:type="dxa" w:w="100"/>
              <w:left w:type="dxa" w:w="120"/>
              <w:bottom w:type="dxa" w:w="100"/>
              <w:right w:type="dxa" w:w="120"/>
            </w:tcMar>
          </w:tcPr>
          <w:p>
            <w:r>
              <w:rPr>
                <w:b w:val="false"/>
                <w:bCs w:val="false"/>
                <w:color w:val="444444"/>
                <w:sz w:val="20"/>
                <w:szCs w:val="20"/>
              </w:rPr>
              <w:t xml:space="preserve">N B Tanisha</w:t>
            </w:r>
          </w:p>
        </w:tc>
        <w:tc>
          <w:tcPr>
            <w:tcW w:type="dxa" w:w="4200"/>
            <w:shd w:fill="F2F2F2" w:val="clear"/>
            <w:tcMar>
              <w:top w:type="dxa" w:w="100"/>
              <w:left w:type="dxa" w:w="120"/>
              <w:bottom w:type="dxa" w:w="100"/>
              <w:right w:type="dxa" w:w="120"/>
            </w:tcMar>
          </w:tcPr>
          <w:p>
            <w:r>
              <w:rPr>
                <w:b w:val="false"/>
                <w:bCs w:val="false"/>
                <w:color w:val="444444"/>
                <w:sz w:val="20"/>
                <w:szCs w:val="20"/>
              </w:rPr>
              <w:t xml:space="preserve">LLM layer — prompts, RAG retrieval, llm_client.py</w:t>
            </w:r>
          </w:p>
        </w:tc>
        <w:tc>
          <w:tcPr>
            <w:tcW w:type="dxa" w:w="3060"/>
            <w:shd w:fill="F2F2F2" w:val="clear"/>
            <w:tcMar>
              <w:top w:type="dxa" w:w="100"/>
              <w:left w:type="dxa" w:w="120"/>
              <w:bottom w:type="dxa" w:w="100"/>
              <w:right w:type="dxa" w:w="120"/>
            </w:tcMar>
          </w:tcPr>
          <w:p>
            <w:r>
              <w:rPr>
                <w:b w:val="false"/>
                <w:bCs w:val="false"/>
                <w:color w:val="444444"/>
                <w:sz w:val="20"/>
                <w:szCs w:val="20"/>
              </w:rPr>
              <w:t xml:space="preserve">Multilingual Explainer Agent</w:t>
            </w:r>
          </w:p>
        </w:tc>
      </w:tr>
      <w:tr>
        <w:tc>
          <w:tcPr>
            <w:tcW w:type="dxa" w:w="2400"/>
            <w:tcMar>
              <w:top w:type="dxa" w:w="100"/>
              <w:left w:type="dxa" w:w="120"/>
              <w:bottom w:type="dxa" w:w="100"/>
              <w:right w:type="dxa" w:w="120"/>
            </w:tcMar>
          </w:tcPr>
          <w:p>
            <w:r>
              <w:rPr>
                <w:b w:val="false"/>
                <w:bCs w:val="false"/>
                <w:color w:val="444444"/>
                <w:sz w:val="20"/>
                <w:szCs w:val="20"/>
              </w:rPr>
              <w:t xml:space="preserve">Vedhanth M</w:t>
            </w:r>
          </w:p>
        </w:tc>
        <w:tc>
          <w:tcPr>
            <w:tcW w:type="dxa" w:w="4200"/>
            <w:tcMar>
              <w:top w:type="dxa" w:w="100"/>
              <w:left w:type="dxa" w:w="120"/>
              <w:bottom w:type="dxa" w:w="100"/>
              <w:right w:type="dxa" w:w="120"/>
            </w:tcMar>
          </w:tcPr>
          <w:p>
            <w:r>
              <w:rPr>
                <w:b w:val="false"/>
                <w:bCs w:val="false"/>
                <w:color w:val="444444"/>
                <w:sz w:val="20"/>
                <w:szCs w:val="20"/>
              </w:rPr>
              <w:t xml:space="preserve">Data layer — synthetic dataset, statute corpus, ingestion pipeline</w:t>
            </w:r>
          </w:p>
        </w:tc>
        <w:tc>
          <w:tcPr>
            <w:tcW w:type="dxa" w:w="3060"/>
            <w:tcMar>
              <w:top w:type="dxa" w:w="100"/>
              <w:left w:type="dxa" w:w="120"/>
              <w:bottom w:type="dxa" w:w="100"/>
              <w:right w:type="dxa" w:w="120"/>
            </w:tcMar>
          </w:tcPr>
          <w:p>
            <w:r>
              <w:rPr>
                <w:b w:val="false"/>
                <w:bCs w:val="false"/>
                <w:color w:val="444444"/>
                <w:sz w:val="20"/>
                <w:szCs w:val="20"/>
              </w:rPr>
              <w:t xml:space="preserve">Notification + Status Tracking Agents</w:t>
            </w:r>
          </w:p>
        </w:tc>
      </w:tr>
      <w:tr>
        <w:tc>
          <w:tcPr>
            <w:tcW w:type="dxa" w:w="2400"/>
            <w:shd w:fill="F2F2F2" w:val="clear"/>
            <w:tcMar>
              <w:top w:type="dxa" w:w="100"/>
              <w:left w:type="dxa" w:w="120"/>
              <w:bottom w:type="dxa" w:w="100"/>
              <w:right w:type="dxa" w:w="120"/>
            </w:tcMar>
          </w:tcPr>
          <w:p>
            <w:r>
              <w:rPr>
                <w:b w:val="false"/>
                <w:bCs w:val="false"/>
                <w:color w:val="444444"/>
                <w:sz w:val="20"/>
                <w:szCs w:val="20"/>
              </w:rPr>
              <w:t xml:space="preserve">Nishanth Prakash Reddy</w:t>
            </w:r>
          </w:p>
        </w:tc>
        <w:tc>
          <w:tcPr>
            <w:tcW w:type="dxa" w:w="4200"/>
            <w:shd w:fill="F2F2F2" w:val="clear"/>
            <w:tcMar>
              <w:top w:type="dxa" w:w="100"/>
              <w:left w:type="dxa" w:w="120"/>
              <w:bottom w:type="dxa" w:w="100"/>
              <w:right w:type="dxa" w:w="120"/>
            </w:tcMar>
          </w:tcPr>
          <w:p>
            <w:r>
              <w:rPr>
                <w:b w:val="false"/>
                <w:bCs w:val="false"/>
                <w:color w:val="444444"/>
                <w:sz w:val="20"/>
                <w:szCs w:val="20"/>
              </w:rPr>
              <w:t xml:space="preserve">Frontend — lawyer dashboard, family view, agent-activity log</w:t>
            </w:r>
          </w:p>
        </w:tc>
        <w:tc>
          <w:tcPr>
            <w:tcW w:type="dxa" w:w="3060"/>
            <w:shd w:fill="F2F2F2" w:val="clear"/>
            <w:tcMar>
              <w:top w:type="dxa" w:w="100"/>
              <w:left w:type="dxa" w:w="120"/>
              <w:bottom w:type="dxa" w:w="100"/>
              <w:right w:type="dxa" w:w="120"/>
            </w:tcMar>
          </w:tcPr>
          <w:p>
            <w:r>
              <w:rPr>
                <w:b w:val="false"/>
                <w:bCs w:val="false"/>
                <w:color w:val="444444"/>
                <w:sz w:val="20"/>
                <w:szCs w:val="20"/>
              </w:rPr>
              <w:t xml:space="preserve">Demo rehearsal lead, README</w:t>
            </w:r>
          </w:p>
        </w:tc>
      </w:tr>
    </w:tbl>
    <w:p>
      <w:pPr>
        <w:spacing w:after="160" w:line="300"/>
      </w:pPr>
      <w:r>
        <w:rPr>
          <w:color w:val="444444"/>
          <w:sz w:val="22"/>
          <w:szCs w:val="22"/>
        </w:rPr>
        <w:t xml:space="preserve"/>
      </w:r>
    </w:p>
    <w:p>
      <w:pPr>
        <w:pStyle w:val="ListParagraph"/>
        <w:numPr>
          <w:ilvl w:val="0"/>
          <w:numId w:val="2"/>
        </w:numPr>
        <w:spacing w:after="80" w:line="280"/>
      </w:pPr>
      <w:r>
        <w:rPr>
          <w:color w:val="444444"/>
          <w:sz w:val="22"/>
          <w:szCs w:val="22"/>
        </w:rPr>
        <w:t xml:space="preserve">A shared task board should map directly to every step of the build roadmap, so four people are never duplicating the same piece of work.</w:t>
      </w:r>
    </w:p>
    <w:p>
      <w:pPr>
        <w:pStyle w:val="ListParagraph"/>
        <w:numPr>
          <w:ilvl w:val="0"/>
          <w:numId w:val="2"/>
        </w:numPr>
        <w:spacing w:after="80" w:line="280"/>
      </w:pPr>
      <w:r>
        <w:rPr>
          <w:color w:val="444444"/>
          <w:sz w:val="22"/>
          <w:szCs w:val="22"/>
        </w:rPr>
        <w:t xml:space="preserve">Code review should happen at every phase boundary, not only at the very end — integration should not be left until the last few hours.</w:t>
      </w:r>
    </w:p>
    <w:p>
      <w:pPr>
        <w:pStyle w:val="ListParagraph"/>
        <w:numPr>
          <w:ilvl w:val="0"/>
          <w:numId w:val="2"/>
        </w:numPr>
        <w:spacing w:after="80" w:line="280"/>
      </w:pPr>
      <w:r>
        <w:rPr>
          <w:color w:val="444444"/>
          <w:sz w:val="22"/>
          <w:szCs w:val="22"/>
        </w:rPr>
        <w:t xml:space="preserve">If working under a fixed time-boxed sprint (e.g., a hackathon), plan an explicit rest rotation so the team is coherent and alert for the final presentation, rather than having built slightly more but being unable to present it well.</w:t>
      </w:r>
    </w:p>
    <w:p>
      <w:pPr>
        <w:pStyle w:val="Heading2"/>
        <w:spacing w:after="160" w:before="360"/>
      </w:pPr>
      <w:r>
        <w:rPr>
          <w:b/>
          <w:bCs/>
          <w:color w:val="1F2A44"/>
          <w:sz w:val="26"/>
          <w:szCs w:val="26"/>
        </w:rPr>
        <w:t xml:space="preserve">4.6 Risk Register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200"/>
        <w:gridCol w:w="6460"/>
      </w:tblGrid>
      <w:tr>
        <w:trPr>
          <w:tblHeader/>
        </w:trPr>
        <w:tc>
          <w:tcPr>
            <w:tcW w:type="dxa" w:w="3200"/>
            <w:shd w:fill="1F2A44" w:val="clear"/>
            <w:tcMar>
              <w:top w:type="dxa" w:w="100"/>
              <w:left w:type="dxa" w:w="120"/>
              <w:bottom w:type="dxa" w:w="100"/>
              <w:right w:type="dxa" w:w="120"/>
            </w:tcMar>
          </w:tcPr>
          <w:p>
            <w:r>
              <w:rPr>
                <w:b/>
                <w:bCs/>
                <w:color w:val="FFFFFF"/>
                <w:sz w:val="20"/>
                <w:szCs w:val="20"/>
              </w:rPr>
              <w:t xml:space="preserve">Risk</w:t>
            </w:r>
          </w:p>
        </w:tc>
        <w:tc>
          <w:tcPr>
            <w:tcW w:type="dxa" w:w="6460"/>
            <w:shd w:fill="1F2A44" w:val="clear"/>
            <w:tcMar>
              <w:top w:type="dxa" w:w="100"/>
              <w:left w:type="dxa" w:w="120"/>
              <w:bottom w:type="dxa" w:w="100"/>
              <w:right w:type="dxa" w:w="120"/>
            </w:tcMar>
          </w:tcPr>
          <w:p>
            <w:r>
              <w:rPr>
                <w:b/>
                <w:bCs/>
                <w:color w:val="FFFFFF"/>
                <w:sz w:val="20"/>
                <w:szCs w:val="20"/>
              </w:rPr>
              <w:t xml:space="preserve">Mitigation</w:t>
            </w:r>
          </w:p>
        </w:tc>
      </w:tr>
      <w:tr>
        <w:tc>
          <w:tcPr>
            <w:tcW w:type="dxa" w:w="3200"/>
            <w:tcMar>
              <w:top w:type="dxa" w:w="100"/>
              <w:left w:type="dxa" w:w="120"/>
              <w:bottom w:type="dxa" w:w="100"/>
              <w:right w:type="dxa" w:w="120"/>
            </w:tcMar>
          </w:tcPr>
          <w:p>
            <w:r>
              <w:rPr>
                <w:b w:val="false"/>
                <w:bCs w:val="false"/>
                <w:color w:val="444444"/>
                <w:sz w:val="20"/>
                <w:szCs w:val="20"/>
              </w:rPr>
              <w:t xml:space="preserve">Chosen LLM provider hits a quota limit, or venue wifi fails, mid-build or mid-demo</w:t>
            </w:r>
          </w:p>
        </w:tc>
        <w:tc>
          <w:tcPr>
            <w:tcW w:type="dxa" w:w="6460"/>
            <w:tcMar>
              <w:top w:type="dxa" w:w="100"/>
              <w:left w:type="dxa" w:w="120"/>
              <w:bottom w:type="dxa" w:w="100"/>
              <w:right w:type="dxa" w:w="120"/>
            </w:tcMar>
          </w:tcPr>
          <w:p>
            <w:r>
              <w:rPr>
                <w:b w:val="false"/>
                <w:bCs w:val="false"/>
                <w:color w:val="444444"/>
                <w:sz w:val="20"/>
                <w:szCs w:val="20"/>
              </w:rPr>
              <w:t xml:space="preserve">Route all LLM calls through the single llm_client.py choke point with an automatic local-model fallback, and test that fallback explicitly before demo day</w:t>
            </w:r>
          </w:p>
        </w:tc>
      </w:tr>
      <w:tr>
        <w:tc>
          <w:tcPr>
            <w:tcW w:type="dxa" w:w="3200"/>
            <w:shd w:fill="F2F2F2" w:val="clear"/>
            <w:tcMar>
              <w:top w:type="dxa" w:w="100"/>
              <w:left w:type="dxa" w:w="120"/>
              <w:bottom w:type="dxa" w:w="100"/>
              <w:right w:type="dxa" w:w="120"/>
            </w:tcMar>
          </w:tcPr>
          <w:p>
            <w:r>
              <w:rPr>
                <w:b w:val="false"/>
                <w:bCs w:val="false"/>
                <w:color w:val="444444"/>
                <w:sz w:val="20"/>
                <w:szCs w:val="20"/>
              </w:rPr>
              <w:t xml:space="preserve">Ingestion pipeline misreads a synthetic scanned document</w:t>
            </w:r>
          </w:p>
        </w:tc>
        <w:tc>
          <w:tcPr>
            <w:tcW w:type="dxa" w:w="6460"/>
            <w:shd w:fill="F2F2F2" w:val="clear"/>
            <w:tcMar>
              <w:top w:type="dxa" w:w="100"/>
              <w:left w:type="dxa" w:w="120"/>
              <w:bottom w:type="dxa" w:w="100"/>
              <w:right w:type="dxa" w:w="120"/>
            </w:tcMar>
          </w:tcPr>
          <w:p>
            <w:r>
              <w:rPr>
                <w:b w:val="false"/>
                <w:bCs w:val="false"/>
                <w:color w:val="444444"/>
                <w:sz w:val="20"/>
                <w:szCs w:val="20"/>
              </w:rPr>
              <w:t xml:space="preserve">Use clean, well-formatted files for the small set of hero cases used in the demo; keep messier files as a deliberate “flagged for manual review” talking point rather than relying on them in a live run</w:t>
            </w:r>
          </w:p>
        </w:tc>
      </w:tr>
      <w:tr>
        <w:tc>
          <w:tcPr>
            <w:tcW w:type="dxa" w:w="3200"/>
            <w:tcMar>
              <w:top w:type="dxa" w:w="100"/>
              <w:left w:type="dxa" w:w="120"/>
              <w:bottom w:type="dxa" w:w="100"/>
              <w:right w:type="dxa" w:w="120"/>
            </w:tcMar>
          </w:tcPr>
          <w:p>
            <w:r>
              <w:rPr>
                <w:b w:val="false"/>
                <w:bCs w:val="false"/>
                <w:color w:val="444444"/>
                <w:sz w:val="20"/>
                <w:szCs w:val="20"/>
              </w:rPr>
              <w:t xml:space="preserve">Frontend build falls behind schedule</w:t>
            </w:r>
          </w:p>
        </w:tc>
        <w:tc>
          <w:tcPr>
            <w:tcW w:type="dxa" w:w="6460"/>
            <w:tcMar>
              <w:top w:type="dxa" w:w="100"/>
              <w:left w:type="dxa" w:w="120"/>
              <w:bottom w:type="dxa" w:w="100"/>
              <w:right w:type="dxa" w:w="120"/>
            </w:tcMar>
          </w:tcPr>
          <w:p>
            <w:r>
              <w:rPr>
                <w:b w:val="false"/>
                <w:bCs w:val="false"/>
                <w:color w:val="444444"/>
                <w:sz w:val="20"/>
                <w:szCs w:val="20"/>
              </w:rPr>
              <w:t xml:space="preserve">Fall back to a simpler framework (e.g., Streamlit) — a working, plain UI is preferable to a broken, polished one</w:t>
            </w:r>
          </w:p>
        </w:tc>
      </w:tr>
      <w:tr>
        <w:tc>
          <w:tcPr>
            <w:tcW w:type="dxa" w:w="3200"/>
            <w:shd w:fill="F2F2F2" w:val="clear"/>
            <w:tcMar>
              <w:top w:type="dxa" w:w="100"/>
              <w:left w:type="dxa" w:w="120"/>
              <w:bottom w:type="dxa" w:w="100"/>
              <w:right w:type="dxa" w:w="120"/>
            </w:tcMar>
          </w:tcPr>
          <w:p>
            <w:r>
              <w:rPr>
                <w:b w:val="false"/>
                <w:bCs w:val="false"/>
                <w:color w:val="444444"/>
                <w:sz w:val="20"/>
                <w:szCs w:val="20"/>
              </w:rPr>
              <w:t xml:space="preserve">A reviewer challenges legal accuracy of a claim</w:t>
            </w:r>
          </w:p>
        </w:tc>
        <w:tc>
          <w:tcPr>
            <w:tcW w:type="dxa" w:w="6460"/>
            <w:shd w:fill="F2F2F2" w:val="clear"/>
            <w:tcMar>
              <w:top w:type="dxa" w:w="100"/>
              <w:left w:type="dxa" w:w="120"/>
              <w:bottom w:type="dxa" w:w="100"/>
              <w:right w:type="dxa" w:w="120"/>
            </w:tcMar>
          </w:tcPr>
          <w:p>
            <w:r>
              <w:rPr>
                <w:b w:val="false"/>
                <w:bCs w:val="false"/>
                <w:color w:val="444444"/>
                <w:sz w:val="20"/>
                <w:szCs w:val="20"/>
              </w:rPr>
              <w:t xml:space="preserve">Ground every claim only in the specific statute/precedent text that has actually been indexed via RAG, and be ready to show the exact retrieved section and citation live</w:t>
            </w:r>
          </w:p>
        </w:tc>
      </w:tr>
      <w:tr>
        <w:tc>
          <w:tcPr>
            <w:tcW w:type="dxa" w:w="3200"/>
            <w:tcMar>
              <w:top w:type="dxa" w:w="100"/>
              <w:left w:type="dxa" w:w="120"/>
              <w:bottom w:type="dxa" w:w="100"/>
              <w:right w:type="dxa" w:w="120"/>
            </w:tcMar>
          </w:tcPr>
          <w:p>
            <w:r>
              <w:rPr>
                <w:b w:val="false"/>
                <w:bCs w:val="false"/>
                <w:color w:val="444444"/>
                <w:sz w:val="20"/>
                <w:szCs w:val="20"/>
              </w:rPr>
              <w:t xml:space="preserve">Team fatigue during a long build window</w:t>
            </w:r>
          </w:p>
        </w:tc>
        <w:tc>
          <w:tcPr>
            <w:tcW w:type="dxa" w:w="6460"/>
            <w:tcMar>
              <w:top w:type="dxa" w:w="100"/>
              <w:left w:type="dxa" w:w="120"/>
              <w:bottom w:type="dxa" w:w="100"/>
              <w:right w:type="dxa" w:w="120"/>
            </w:tcMar>
          </w:tcPr>
          <w:p>
            <w:r>
              <w:rPr>
                <w:b w:val="false"/>
                <w:bCs w:val="false"/>
                <w:color w:val="444444"/>
                <w:sz w:val="20"/>
                <w:szCs w:val="20"/>
              </w:rPr>
              <w:t xml:space="preserve">Plan and follow an explicit rest-rotation schedule in advance</w:t>
            </w:r>
          </w:p>
        </w:tc>
      </w:tr>
    </w:tbl>
    <w:p>
      <w:r>
        <w:br w:type="page"/>
      </w:r>
    </w:p>
    <w:p>
      <w:pPr>
        <w:pStyle w:val="Heading1"/>
        <w:pBdr>
          <w:bottom w:val="single" w:color="B08D57" w:sz="6" w:space="4"/>
        </w:pBdr>
        <w:spacing w:after="240" w:before="480"/>
      </w:pPr>
      <w:r>
        <w:rPr>
          <w:b/>
          <w:bCs/>
          <w:color w:val="1F2A44"/>
          <w:sz w:val="32"/>
          <w:szCs w:val="32"/>
        </w:rPr>
        <w:t xml:space="preserve">5. Part D — Impact, Scope and Framing</w:t>
      </w:r>
    </w:p>
    <w:p>
      <w:pPr>
        <w:pStyle w:val="ListParagraph"/>
        <w:numPr>
          <w:ilvl w:val="0"/>
          <w:numId w:val="2"/>
        </w:numPr>
        <w:spacing w:after="80" w:line="280"/>
      </w:pPr>
      <w:r>
        <w:rPr>
          <w:color w:val="444444"/>
          <w:sz w:val="22"/>
          <w:szCs w:val="22"/>
        </w:rPr>
        <w:t xml:space="preserve">The system is directly actionable against a population of 371,440 undertrials nationally — a meaningful share of whom are likely already past their statutory eligibility date under Section 479 BNSS.</w:t>
      </w:r>
    </w:p>
    <w:p>
      <w:pPr>
        <w:pStyle w:val="ListParagraph"/>
        <w:numPr>
          <w:ilvl w:val="0"/>
          <w:numId w:val="2"/>
        </w:numPr>
        <w:spacing w:after="80" w:line="280"/>
      </w:pPr>
      <w:r>
        <w:rPr>
          <w:color w:val="444444"/>
          <w:sz w:val="22"/>
          <w:szCs w:val="22"/>
        </w:rPr>
        <w:t xml:space="preserve">Prioritisation and alerting ensure the most vulnerable cases — elderly, unwell, minor offences, first-time offenders — reach an overloaded legal-aid lawyer's attention first, improving equity within the undertrial population rather than only improving overall throughput.</w:t>
      </w:r>
    </w:p>
    <w:p>
      <w:pPr>
        <w:pStyle w:val="ListParagraph"/>
        <w:numPr>
          <w:ilvl w:val="0"/>
          <w:numId w:val="2"/>
        </w:numPr>
        <w:spacing w:after="80" w:line="280"/>
      </w:pPr>
      <w:r>
        <w:rPr>
          <w:color w:val="444444"/>
          <w:sz w:val="22"/>
          <w:szCs w:val="22"/>
        </w:rPr>
        <w:t xml:space="preserve">Status tracking directly addresses the most overlooked failure point identified in the research: cases that are eligible, and sometimes even already filed, but stall for months with no follow-up.</w:t>
      </w:r>
    </w:p>
    <w:p>
      <w:pPr>
        <w:pStyle w:val="ListParagraph"/>
        <w:numPr>
          <w:ilvl w:val="0"/>
          <w:numId w:val="2"/>
        </w:numPr>
        <w:spacing w:after="80" w:line="280"/>
      </w:pPr>
      <w:r>
        <w:rPr>
          <w:color w:val="444444"/>
          <w:sz w:val="22"/>
          <w:szCs w:val="22"/>
        </w:rPr>
        <w:t xml:space="preserve">Multilingual family explanations reduce anxiety and information asymmetry for families who otherwise have no reliable way to learn a relative's legal status.</w:t>
      </w:r>
    </w:p>
    <w:p>
      <w:pPr>
        <w:pStyle w:val="ListParagraph"/>
        <w:numPr>
          <w:ilvl w:val="0"/>
          <w:numId w:val="2"/>
        </w:numPr>
        <w:spacing w:after="80" w:line="280"/>
      </w:pPr>
      <w:r>
        <w:rPr>
          <w:color w:val="444444"/>
          <w:sz w:val="22"/>
          <w:szCs w:val="22"/>
        </w:rPr>
        <w:t xml:space="preserve">At a system level, this reduces pressure on the 112.7%-of-capacity national prison occupancy figure and reduces avoidable state custodial costs.</w:t>
      </w:r>
    </w:p>
    <w:p>
      <w:pPr>
        <w:spacing w:after="160" w:line="300"/>
      </w:pPr>
      <w:r>
        <w:rPr>
          <w:color w:val="444444"/>
          <w:sz w:val="22"/>
          <w:szCs w:val="22"/>
        </w:rPr>
        <w:t xml:space="preserve">Recommended framing for realism when presenting or pitching this project: propose piloting with a single DLSA or district first, with a concrete, measurable target — for example, reducing the time from “a case becomes eligible” to “the assigned lawyer is notified” to under 48 hours — rather than claiming immediate national-scale deployment.</w:t>
      </w:r>
    </w:p>
    <w:p>
      <w:r>
        <w:br w:type="page"/>
      </w:r>
    </w:p>
    <w:p>
      <w:pPr>
        <w:pStyle w:val="Heading1"/>
        <w:pBdr>
          <w:bottom w:val="single" w:color="B08D57" w:sz="6" w:space="4"/>
        </w:pBdr>
        <w:spacing w:after="240" w:before="480"/>
      </w:pPr>
      <w:r>
        <w:rPr>
          <w:b/>
          <w:bCs/>
          <w:color w:val="1F2A44"/>
          <w:sz w:val="32"/>
          <w:szCs w:val="32"/>
        </w:rPr>
        <w:t xml:space="preserve">6. Sources and References</w:t>
      </w:r>
    </w:p>
    <w:p>
      <w:pPr>
        <w:spacing w:after="160" w:line="300"/>
      </w:pPr>
      <w:r>
        <w:rPr>
          <w:color w:val="444444"/>
          <w:sz w:val="22"/>
          <w:szCs w:val="22"/>
        </w:rPr>
        <w:t xml:space="preserve">Primary statistics and legal detail in this report were drawn from:</w:t>
      </w:r>
    </w:p>
    <w:p>
      <w:pPr>
        <w:pStyle w:val="ListParagraph"/>
        <w:numPr>
          <w:ilvl w:val="0"/>
          <w:numId w:val="2"/>
        </w:numPr>
        <w:spacing w:after="80" w:line="280"/>
      </w:pPr>
      <w:r>
        <w:rPr>
          <w:color w:val="444444"/>
          <w:sz w:val="22"/>
          <w:szCs w:val="22"/>
        </w:rPr>
        <w:t xml:space="preserve">National Crime Records Bureau (NCRB), Prison Statistics India 2024</w:t>
      </w:r>
    </w:p>
    <w:p>
      <w:pPr>
        <w:pStyle w:val="ListParagraph"/>
        <w:numPr>
          <w:ilvl w:val="0"/>
          <w:numId w:val="2"/>
        </w:numPr>
        <w:spacing w:after="80" w:line="280"/>
      </w:pPr>
      <w:r>
        <w:rPr>
          <w:color w:val="444444"/>
          <w:sz w:val="22"/>
          <w:szCs w:val="22"/>
        </w:rPr>
        <w:t xml:space="preserve">Ministry of Home Affairs, Rajya Sabha reply, December 2024</w:t>
      </w:r>
    </w:p>
    <w:p>
      <w:pPr>
        <w:pStyle w:val="ListParagraph"/>
        <w:numPr>
          <w:ilvl w:val="0"/>
          <w:numId w:val="2"/>
        </w:numPr>
        <w:spacing w:after="80" w:line="280"/>
      </w:pPr>
      <w:r>
        <w:rPr>
          <w:color w:val="444444"/>
          <w:sz w:val="22"/>
          <w:szCs w:val="22"/>
        </w:rPr>
        <w:t xml:space="preserve">Section 479, Bharatiya Nagarik Suraksha Sanhita (BNSS); Section 436A, Code of Criminal Procedure (CrPC) — predecessor provision</w:t>
      </w:r>
    </w:p>
    <w:p>
      <w:pPr>
        <w:spacing w:after="160" w:line="300"/>
      </w:pPr>
      <w:r>
        <w:rPr>
          <w:color w:val="444444"/>
          <w:sz w:val="22"/>
          <w:szCs w:val="22"/>
        </w:rPr>
        <w:t xml:space="preserve">Additional reference and research sources consulted by the team:</w:t>
      </w:r>
    </w:p>
    <w:p>
      <w:pPr>
        <w:pStyle w:val="ListParagraph"/>
        <w:numPr>
          <w:ilvl w:val="0"/>
          <w:numId w:val="2"/>
        </w:numPr>
        <w:spacing w:after="80" w:line="280"/>
      </w:pPr>
      <w:r>
        <w:rPr>
          <w:color w:val="444444"/>
          <w:sz w:val="22"/>
          <w:szCs w:val="22"/>
        </w:rPr>
        <w:t xml:space="preserve">indiacode.nic.in — official Government of India legislative text repository</w:t>
      </w:r>
    </w:p>
    <w:p>
      <w:pPr>
        <w:pStyle w:val="ListParagraph"/>
        <w:numPr>
          <w:ilvl w:val="0"/>
          <w:numId w:val="2"/>
        </w:numPr>
        <w:spacing w:after="80" w:line="280"/>
      </w:pPr>
      <w:r>
        <w:rPr>
          <w:color w:val="444444"/>
          <w:sz w:val="22"/>
          <w:szCs w:val="22"/>
        </w:rPr>
        <w:t xml:space="preserve">ecourts.gov.in — eCourts Services (Government of India)</w:t>
      </w:r>
    </w:p>
    <w:p>
      <w:pPr>
        <w:pStyle w:val="ListParagraph"/>
        <w:numPr>
          <w:ilvl w:val="0"/>
          <w:numId w:val="2"/>
        </w:numPr>
        <w:spacing w:after="80" w:line="280"/>
      </w:pPr>
      <w:r>
        <w:rPr>
          <w:color w:val="444444"/>
          <w:sz w:val="22"/>
          <w:szCs w:val="22"/>
        </w:rPr>
        <w:t xml:space="preserve">nic.gov.in — National Informatics Centre</w:t>
      </w:r>
    </w:p>
    <w:p>
      <w:pPr>
        <w:pStyle w:val="ListParagraph"/>
        <w:numPr>
          <w:ilvl w:val="0"/>
          <w:numId w:val="2"/>
        </w:numPr>
        <w:spacing w:after="80" w:line="280"/>
      </w:pPr>
      <w:r>
        <w:rPr>
          <w:color w:val="444444"/>
          <w:sz w:val="22"/>
          <w:szCs w:val="22"/>
        </w:rPr>
        <w:t xml:space="preserve">Indian Kanoon — case law and statute search</w:t>
      </w:r>
    </w:p>
    <w:p>
      <w:pPr>
        <w:pStyle w:val="ListParagraph"/>
        <w:numPr>
          <w:ilvl w:val="0"/>
          <w:numId w:val="2"/>
        </w:numPr>
        <w:spacing w:after="80" w:line="280"/>
      </w:pPr>
      <w:r>
        <w:rPr>
          <w:color w:val="444444"/>
          <w:sz w:val="22"/>
          <w:szCs w:val="22"/>
        </w:rPr>
        <w:t xml:space="preserve">PIB (Press Information Bureau) — official government press releases</w:t>
      </w:r>
    </w:p>
    <w:p>
      <w:pPr>
        <w:pStyle w:val="ListParagraph"/>
        <w:numPr>
          <w:ilvl w:val="0"/>
          <w:numId w:val="2"/>
        </w:numPr>
        <w:spacing w:after="80" w:line="280"/>
      </w:pPr>
      <w:r>
        <w:rPr>
          <w:color w:val="444444"/>
          <w:sz w:val="22"/>
          <w:szCs w:val="22"/>
        </w:rPr>
        <w:t xml:space="preserve">Drishti Judiciary, LawZone, LegacyIAS, The Legal Quotient, Clarity Counsel, Supreme Today, CJP, IJLMH, Crime &amp; Justice, Pinaka Legal, Anatamias — secondary legal-explainer and analysis sources used for background research and cross-verification</w:t>
      </w:r>
    </w:p>
    <w:p>
      <w:pPr>
        <w:spacing w:after="160" w:line="300"/>
      </w:pPr>
      <w:r>
        <w:rPr>
          <w:color w:val="444444"/>
          <w:sz w:val="22"/>
          <w:szCs w:val="22"/>
        </w:rPr>
        <w:t xml:space="preserve"/>
      </w:r>
    </w:p>
    <w:p>
      <w:pPr>
        <w:spacing w:after="160" w:line="300"/>
      </w:pPr>
      <w:r>
        <w:rPr>
          <w:color w:val="444444"/>
          <w:sz w:val="22"/>
          <w:szCs w:val="22"/>
        </w:rPr>
        <w:t xml:space="preserve">Note on data ethics: this project uses exclusively synthetic case data for all development, testing, and demonstration purposes. No real prisoner names or records are sourced, referenced, or simulated from at any stage, which both preserves privacy and avoids any risk of a real data breach.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Nyaya Mitra — Complete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2026-08-08T15:50:12.511Z</dcterms:created>
  <dcterms:modified xsi:type="dcterms:W3CDTF">2026-08-08T15:50:12.524Z</dcterms:modified>
</cp:coreProperties>
</file>

<file path=docProps/custom.xml><?xml version="1.0" encoding="utf-8"?>
<Properties xmlns="http://schemas.openxmlformats.org/officeDocument/2006/custom-properties" xmlns:vt="http://schemas.openxmlformats.org/officeDocument/2006/docPropsVTypes"/>
</file>