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6B13" w14:textId="77777777" w:rsidR="004D7BCB" w:rsidRPr="004D7BCB" w:rsidRDefault="004D7BCB" w:rsidP="004D7BCB">
      <w:pPr>
        <w:rPr>
          <w:b/>
          <w:bCs/>
        </w:rPr>
      </w:pPr>
      <w:r w:rsidRPr="004D7BCB">
        <w:rPr>
          <w:b/>
          <w:bCs/>
        </w:rPr>
        <w:t>Strategic Framework for Georgia’s Innovation and Technology Policy Optimization</w:t>
      </w:r>
    </w:p>
    <w:p w14:paraId="7E7AAE23" w14:textId="77777777" w:rsidR="004D7BCB" w:rsidRPr="004D7BCB" w:rsidRDefault="004D7BCB" w:rsidP="004D7BCB">
      <w:pPr>
        <w:rPr>
          <w:b/>
          <w:bCs/>
        </w:rPr>
      </w:pPr>
      <w:r w:rsidRPr="004D7BCB">
        <w:rPr>
          <w:b/>
          <w:bCs/>
        </w:rPr>
        <w:t>1. Introduction and Strategic Context</w:t>
      </w:r>
    </w:p>
    <w:p w14:paraId="437766AE" w14:textId="77777777" w:rsidR="004D7BCB" w:rsidRPr="004D7BCB" w:rsidRDefault="004D7BCB" w:rsidP="004D7BCB">
      <w:r w:rsidRPr="004D7BCB">
        <w:t>The technology startup ecosystem is no longer a peripheral interest; it is the vital engine for Georgia’s economic modernization and diversification. For Georgia to transcend its current "activation" phase and evolve into a globalized technology hub, it must shift from simply facilitating business registration to actively nurturing high-growth ventures. The strategic imperative is to move beyond a "nascent" domestic focus and integrate Georgian innovation into the global value chain, transforming the economy from one based on traditional labor and trade into a knowledge-driven powerhouse.</w:t>
      </w:r>
    </w:p>
    <w:p w14:paraId="56AB05B0" w14:textId="77777777" w:rsidR="004D7BCB" w:rsidRPr="004D7BCB" w:rsidRDefault="004D7BCB" w:rsidP="004D7BCB">
      <w:r w:rsidRPr="004D7BCB">
        <w:rPr>
          <w:b/>
          <w:bCs/>
        </w:rPr>
        <w:t>The Global Positioning of Georgia</w:t>
      </w:r>
      <w:r w:rsidRPr="004D7BCB">
        <w:t xml:space="preserve"> Georgia’s current global standing presents a stark paradox. The country is a world leader in general regulatory efficiency, ranking </w:t>
      </w:r>
      <w:r w:rsidRPr="004D7BCB">
        <w:rPr>
          <w:b/>
          <w:bCs/>
        </w:rPr>
        <w:t>7th in the Ease of Doing Business Index</w:t>
      </w:r>
      <w:r w:rsidRPr="004D7BCB">
        <w:t xml:space="preserve"> and </w:t>
      </w:r>
      <w:r w:rsidRPr="004D7BCB">
        <w:rPr>
          <w:b/>
          <w:bCs/>
        </w:rPr>
        <w:t>12th in the Index of Economic Freedom</w:t>
      </w:r>
      <w:r w:rsidRPr="004D7BCB">
        <w:t xml:space="preserve">. However, this high-functioning business climate has not yet translated into innovation success, as evidenced by </w:t>
      </w:r>
      <w:proofErr w:type="gramStart"/>
      <w:r w:rsidRPr="004D7BCB">
        <w:t>a</w:t>
      </w:r>
      <w:proofErr w:type="gramEnd"/>
      <w:r w:rsidRPr="004D7BCB">
        <w:t xml:space="preserve"> </w:t>
      </w:r>
      <w:r w:rsidRPr="004D7BCB">
        <w:rPr>
          <w:b/>
          <w:bCs/>
        </w:rPr>
        <w:t>80th-place ranking in the Global Startup Ecosystem Index</w:t>
      </w:r>
      <w:r w:rsidRPr="004D7BCB">
        <w:t>. While Georgia excels at traditional commerce and trade freedom, it is hindered by a lack of experienced entrepreneurs, a shallow pool of private investment capital, and the inherent constraints of a domestic market of only 3.7 million people.</w:t>
      </w:r>
    </w:p>
    <w:p w14:paraId="7A062107" w14:textId="77777777" w:rsidR="004D7BCB" w:rsidRPr="004D7BCB" w:rsidRDefault="004D7BCB" w:rsidP="004D7BCB">
      <w:r w:rsidRPr="004D7BCB">
        <w:rPr>
          <w:b/>
          <w:bCs/>
        </w:rPr>
        <w:t>Core Objective</w:t>
      </w:r>
      <w:r w:rsidRPr="004D7BCB">
        <w:t xml:space="preserve"> This framework serves as a prescriptive roadmap for policymakers to optimize digital infrastructure, financial architecture, and human capital. By targeting development-oriented sectors—</w:t>
      </w:r>
      <w:proofErr w:type="spellStart"/>
      <w:r w:rsidRPr="004D7BCB">
        <w:t>Agritech</w:t>
      </w:r>
      <w:proofErr w:type="spellEnd"/>
      <w:r w:rsidRPr="004D7BCB">
        <w:t xml:space="preserve">, Edtech, </w:t>
      </w:r>
      <w:proofErr w:type="spellStart"/>
      <w:r w:rsidRPr="004D7BCB">
        <w:t>Healthtech</w:t>
      </w:r>
      <w:proofErr w:type="spellEnd"/>
      <w:r w:rsidRPr="004D7BCB">
        <w:t>, and Cleantech—Georgia can utilize technology as a socioeconomic multiplier. True optimization requires moving from an "easy" business environment to a "specialized" one that addresses the high-risk, high-R&amp;D needs of a modern digital economy.</w:t>
      </w:r>
    </w:p>
    <w:p w14:paraId="582DFF8E" w14:textId="77777777" w:rsidR="004D7BCB" w:rsidRPr="004D7BCB" w:rsidRDefault="004D7BCB" w:rsidP="004D7BCB">
      <w:pPr>
        <w:rPr>
          <w:b/>
          <w:bCs/>
        </w:rPr>
      </w:pPr>
      <w:r w:rsidRPr="004D7BCB">
        <w:rPr>
          <w:b/>
          <w:bCs/>
        </w:rPr>
        <w:t>2. Foundation Analysis: Digital Infrastructure and Regulatory Environment</w:t>
      </w:r>
    </w:p>
    <w:p w14:paraId="77B1C7B8" w14:textId="77777777" w:rsidR="004D7BCB" w:rsidRPr="004D7BCB" w:rsidRDefault="004D7BCB" w:rsidP="004D7BCB">
      <w:r w:rsidRPr="004D7BCB">
        <w:t>Digital inclusion and high-quality connectivity serve as the "utility layer" for any modern innovation economy. Without universal access to high-speed data, the reach of startups in sectors like telemedicine or digital agriculture is structurally confined to urban centers, leaving the broader economy disconnected from the benefits of modernization.</w:t>
      </w:r>
    </w:p>
    <w:p w14:paraId="7A47D593" w14:textId="77777777" w:rsidR="004D7BCB" w:rsidRPr="004D7BCB" w:rsidRDefault="004D7BCB" w:rsidP="004D7BCB">
      <w:r w:rsidRPr="004D7BCB">
        <w:rPr>
          <w:b/>
          <w:bCs/>
        </w:rPr>
        <w:t>The Digital Divide</w:t>
      </w:r>
      <w:r w:rsidRPr="004D7BCB">
        <w:t xml:space="preserve"> Despite significant progress in fixed broadband uptake (over 80% of households), a strategic gap persists:</w:t>
      </w:r>
    </w:p>
    <w:p w14:paraId="30D972CC" w14:textId="77777777" w:rsidR="004D7BCB" w:rsidRPr="004D7BCB" w:rsidRDefault="004D7BCB" w:rsidP="004D7BCB">
      <w:pPr>
        <w:numPr>
          <w:ilvl w:val="0"/>
          <w:numId w:val="1"/>
        </w:numPr>
      </w:pPr>
      <w:r w:rsidRPr="004D7BCB">
        <w:rPr>
          <w:b/>
          <w:bCs/>
        </w:rPr>
        <w:t>The Peripheral Lag:</w:t>
      </w:r>
      <w:r w:rsidRPr="004D7BCB">
        <w:t xml:space="preserve"> Digital skills and high-speed access are markedly lower in rural areas, effectively locking the agricultural heartlands out of the </w:t>
      </w:r>
      <w:proofErr w:type="spellStart"/>
      <w:r w:rsidRPr="004D7BCB">
        <w:t>Agritech</w:t>
      </w:r>
      <w:proofErr w:type="spellEnd"/>
      <w:r w:rsidRPr="004D7BCB">
        <w:t xml:space="preserve"> revolution.</w:t>
      </w:r>
    </w:p>
    <w:p w14:paraId="2115C278" w14:textId="77777777" w:rsidR="004D7BCB" w:rsidRPr="004D7BCB" w:rsidRDefault="004D7BCB" w:rsidP="004D7BCB">
      <w:pPr>
        <w:numPr>
          <w:ilvl w:val="0"/>
          <w:numId w:val="1"/>
        </w:numPr>
      </w:pPr>
      <w:r w:rsidRPr="004D7BCB">
        <w:rPr>
          <w:b/>
          <w:bCs/>
        </w:rPr>
        <w:lastRenderedPageBreak/>
        <w:t>SME Stagnation:</w:t>
      </w:r>
      <w:r w:rsidRPr="004D7BCB">
        <w:t xml:space="preserve"> Small and medium-sized enterprises outside Tbilisi have yet to fully deploy digital tools, limiting their ability to participate in the broader startup supply chain.</w:t>
      </w:r>
    </w:p>
    <w:p w14:paraId="5AD23E93" w14:textId="77777777" w:rsidR="004D7BCB" w:rsidRPr="004D7BCB" w:rsidRDefault="004D7BCB" w:rsidP="004D7BCB">
      <w:pPr>
        <w:numPr>
          <w:ilvl w:val="0"/>
          <w:numId w:val="1"/>
        </w:numPr>
      </w:pPr>
      <w:r w:rsidRPr="004D7BCB">
        <w:rPr>
          <w:b/>
          <w:bCs/>
        </w:rPr>
        <w:t>Infrastructure Gaps:</w:t>
      </w:r>
      <w:r w:rsidRPr="004D7BCB">
        <w:t xml:space="preserve"> While 90% of companies have internet access, the delayed implementation of 5G limits the development of "Internet of Things" (IoT) applications critical for industrial innovation.</w:t>
      </w:r>
    </w:p>
    <w:p w14:paraId="4EB76418" w14:textId="77777777" w:rsidR="004D7BCB" w:rsidRPr="004D7BCB" w:rsidRDefault="004D7BCB" w:rsidP="004D7BCB">
      <w:r w:rsidRPr="004D7BCB">
        <w:rPr>
          <w:b/>
          <w:bCs/>
        </w:rPr>
        <w:t>Regulatory Efficiency vs. Innovation Gaps</w:t>
      </w:r>
      <w:r w:rsidRPr="004D7BCB">
        <w:t xml:space="preserve"> While the regulatory environment is efficient for standard commerce, it remains unoptimized for the specific risks associated with technology R&amp;D.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46"/>
        <w:gridCol w:w="4898"/>
      </w:tblGrid>
      <w:tr w:rsidR="004D7BCB" w:rsidRPr="004D7BCB" w14:paraId="1DFF87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87CCA0" w14:textId="77777777" w:rsidR="004D7BCB" w:rsidRPr="004D7BCB" w:rsidRDefault="004D7BCB" w:rsidP="004D7BCB">
            <w:r w:rsidRPr="004D7BCB">
              <w:t>Regulatory Landscape: Efficiency vs. Barriers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20326" w14:textId="77777777" w:rsidR="004D7BCB" w:rsidRPr="004D7BCB" w:rsidRDefault="004D7BCB" w:rsidP="004D7BCB">
            <w:r w:rsidRPr="004D7BCB">
              <w:t>Innovation-Specific Barriers</w:t>
            </w:r>
          </w:p>
        </w:tc>
      </w:tr>
      <w:tr w:rsidR="004D7BCB" w:rsidRPr="004D7BCB" w14:paraId="3CB947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F914AF" w14:textId="77777777" w:rsidR="004D7BCB" w:rsidRPr="004D7BCB" w:rsidRDefault="004D7BCB" w:rsidP="004D7BCB">
            <w:r w:rsidRPr="004D7BCB">
              <w:rPr>
                <w:b/>
                <w:bCs/>
              </w:rPr>
              <w:t>Global Leader in Registration:</w:t>
            </w:r>
            <w:r w:rsidRPr="004D7BCB">
              <w:t xml:space="preserve"> 30-minute business registration and digitized tax platforms.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B8139" w14:textId="77777777" w:rsidR="004D7BCB" w:rsidRPr="004D7BCB" w:rsidRDefault="004D7BCB" w:rsidP="004D7BCB">
            <w:r w:rsidRPr="004D7BCB">
              <w:rPr>
                <w:b/>
                <w:bCs/>
              </w:rPr>
              <w:t>Insolvency Risks:</w:t>
            </w:r>
            <w:r w:rsidRPr="004D7BCB">
              <w:t xml:space="preserve"> Low scores in resolving insolvencies create a culture of risk-aversion.</w:t>
            </w:r>
          </w:p>
        </w:tc>
      </w:tr>
      <w:tr w:rsidR="004D7BCB" w:rsidRPr="004D7BCB" w14:paraId="4B7412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E91FF6" w14:textId="77777777" w:rsidR="004D7BCB" w:rsidRPr="004D7BCB" w:rsidRDefault="004D7BCB" w:rsidP="004D7BCB">
            <w:r w:rsidRPr="004D7BCB">
              <w:rPr>
                <w:b/>
                <w:bCs/>
              </w:rPr>
              <w:t>Trade Freedom:</w:t>
            </w:r>
            <w:r w:rsidRPr="004D7BCB">
              <w:t xml:space="preserve"> Outperforms regional peers in trade and business freedom.</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BFBB4" w14:textId="77777777" w:rsidR="004D7BCB" w:rsidRPr="004D7BCB" w:rsidRDefault="004D7BCB" w:rsidP="004D7BCB">
            <w:r w:rsidRPr="004D7BCB">
              <w:rPr>
                <w:b/>
                <w:bCs/>
              </w:rPr>
              <w:t>Prototype Bottleneck:</w:t>
            </w:r>
            <w:r w:rsidRPr="004D7BCB">
              <w:t xml:space="preserve"> The GEL 300 ($90) import tax threshold on components stifles hardware R&amp;D.</w:t>
            </w:r>
          </w:p>
        </w:tc>
      </w:tr>
      <w:tr w:rsidR="004D7BCB" w:rsidRPr="004D7BCB" w14:paraId="50E7BA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F0674D" w14:textId="77777777" w:rsidR="004D7BCB" w:rsidRPr="004D7BCB" w:rsidRDefault="004D7BCB" w:rsidP="004D7BCB">
            <w:r w:rsidRPr="004D7BCB">
              <w:rPr>
                <w:b/>
                <w:bCs/>
              </w:rPr>
              <w:t>Governance:</w:t>
            </w:r>
            <w:r w:rsidRPr="004D7BCB">
              <w:t xml:space="preserve"> Least corrupt country in the Black Sea region; minimal regulatory compliance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7CAB1" w14:textId="77777777" w:rsidR="004D7BCB" w:rsidRPr="004D7BCB" w:rsidRDefault="004D7BCB" w:rsidP="004D7BCB">
            <w:r w:rsidRPr="004D7BCB">
              <w:rPr>
                <w:b/>
                <w:bCs/>
              </w:rPr>
              <w:t>Institutional Gap:</w:t>
            </w:r>
            <w:r w:rsidRPr="004D7BCB">
              <w:t xml:space="preserve"> Innovation capability ranks 91st globally; poor collaboration between science and industry.</w:t>
            </w:r>
          </w:p>
        </w:tc>
      </w:tr>
    </w:tbl>
    <w:p w14:paraId="64E4BE33" w14:textId="77777777" w:rsidR="004D7BCB" w:rsidRPr="004D7BCB" w:rsidRDefault="004D7BCB" w:rsidP="004D7BCB">
      <w:r w:rsidRPr="004D7BCB">
        <w:rPr>
          <w:b/>
          <w:bCs/>
        </w:rPr>
        <w:t>Underutilized Incentives</w:t>
      </w:r>
      <w:r w:rsidRPr="004D7BCB">
        <w:t xml:space="preserve"> Georgia’s fiscal incentives, such as the </w:t>
      </w:r>
      <w:r w:rsidRPr="004D7BCB">
        <w:rPr>
          <w:b/>
          <w:bCs/>
        </w:rPr>
        <w:t>Virtual Economic Zone</w:t>
      </w:r>
      <w:r w:rsidRPr="004D7BCB">
        <w:t xml:space="preserve"> (zero VAT/profit tax) and </w:t>
      </w:r>
      <w:r w:rsidRPr="004D7BCB">
        <w:rPr>
          <w:b/>
          <w:bCs/>
        </w:rPr>
        <w:t>International Company Status</w:t>
      </w:r>
      <w:r w:rsidRPr="004D7BCB">
        <w:t xml:space="preserve"> (5% income/profit tax), are powerful tools on paper but fail in practice. Interviews revealed a </w:t>
      </w:r>
      <w:r w:rsidRPr="004D7BCB">
        <w:rPr>
          <w:b/>
          <w:bCs/>
        </w:rPr>
        <w:t>100% ignorance rate</w:t>
      </w:r>
      <w:r w:rsidRPr="004D7BCB">
        <w:t xml:space="preserve"> regarding the Virtual Economic Zone among local founders. Furthermore, these policies currently favor established exporters, completely missing the "research-mode" phase where local startups are pivoting and lack the revenue to qualify for or benefit from established corporate tax breaks.</w:t>
      </w:r>
    </w:p>
    <w:p w14:paraId="36618A83" w14:textId="77777777" w:rsidR="004D7BCB" w:rsidRPr="004D7BCB" w:rsidRDefault="004D7BCB" w:rsidP="004D7BCB">
      <w:pPr>
        <w:rPr>
          <w:b/>
          <w:bCs/>
        </w:rPr>
      </w:pPr>
      <w:r w:rsidRPr="004D7BCB">
        <w:rPr>
          <w:b/>
          <w:bCs/>
        </w:rPr>
        <w:t>3. Financial Architecture: Moving from Grants to Sustainable Capital</w:t>
      </w:r>
    </w:p>
    <w:p w14:paraId="570B9137" w14:textId="77777777" w:rsidR="004D7BCB" w:rsidRPr="004D7BCB" w:rsidRDefault="004D7BCB" w:rsidP="004D7BCB">
      <w:r w:rsidRPr="004D7BCB">
        <w:t>A diverse funding "ladder" is essential to prevent startups from stalling after the prototyping phase. Currently, the ladder is missing its middle rungs, forcing startups to rely on government handouts or survive in a capital desert.</w:t>
      </w:r>
    </w:p>
    <w:p w14:paraId="71CECBB6" w14:textId="77777777" w:rsidR="004D7BCB" w:rsidRPr="004D7BCB" w:rsidRDefault="004D7BCB" w:rsidP="004D7BCB">
      <w:r w:rsidRPr="004D7BCB">
        <w:rPr>
          <w:b/>
          <w:bCs/>
        </w:rPr>
        <w:t>The GITA Ecosystem and the "Grant Funnel" Insight</w:t>
      </w:r>
      <w:r w:rsidRPr="004D7BCB">
        <w:t xml:space="preserve"> </w:t>
      </w:r>
      <w:proofErr w:type="gramStart"/>
      <w:r w:rsidRPr="004D7BCB">
        <w:t>The</w:t>
      </w:r>
      <w:proofErr w:type="gramEnd"/>
      <w:r w:rsidRPr="004D7BCB">
        <w:t xml:space="preserve"> Georgia Innovation and Technology Agency (GITA) </w:t>
      </w:r>
      <w:proofErr w:type="gramStart"/>
      <w:r w:rsidRPr="004D7BCB">
        <w:t>has</w:t>
      </w:r>
      <w:proofErr w:type="gramEnd"/>
      <w:r w:rsidRPr="004D7BCB">
        <w:t xml:space="preserve"> been the primary engine of the ecosystem, distributing GEL </w:t>
      </w:r>
      <w:r w:rsidRPr="004D7BCB">
        <w:lastRenderedPageBreak/>
        <w:t>21.9 million to over 280 startups. However, an analysis of the "funnel" reveals a strategic bottleneck:</w:t>
      </w:r>
    </w:p>
    <w:p w14:paraId="2569F211" w14:textId="77777777" w:rsidR="004D7BCB" w:rsidRPr="004D7BCB" w:rsidRDefault="004D7BCB" w:rsidP="004D7BCB">
      <w:pPr>
        <w:numPr>
          <w:ilvl w:val="0"/>
          <w:numId w:val="2"/>
        </w:numPr>
      </w:pPr>
      <w:r w:rsidRPr="004D7BCB">
        <w:rPr>
          <w:b/>
          <w:bCs/>
        </w:rPr>
        <w:t>The Prototype Surplus:</w:t>
      </w:r>
      <w:r w:rsidRPr="004D7BCB">
        <w:t xml:space="preserve"> 156 grants have been awarded for the prototyping phase.</w:t>
      </w:r>
    </w:p>
    <w:p w14:paraId="6C782DD8" w14:textId="77777777" w:rsidR="004D7BCB" w:rsidRPr="004D7BCB" w:rsidRDefault="004D7BCB" w:rsidP="004D7BCB">
      <w:pPr>
        <w:numPr>
          <w:ilvl w:val="0"/>
          <w:numId w:val="2"/>
        </w:numPr>
      </w:pPr>
      <w:r w:rsidRPr="004D7BCB">
        <w:rPr>
          <w:b/>
          <w:bCs/>
        </w:rPr>
        <w:t>The Innovation Deficit:</w:t>
      </w:r>
      <w:r w:rsidRPr="004D7BCB">
        <w:t xml:space="preserve"> Only 15 innovation matching grants have been awarded—a mere 5.3% success rate in transitioning from concepts to market-ready ventures.</w:t>
      </w:r>
    </w:p>
    <w:p w14:paraId="5983B619" w14:textId="77777777" w:rsidR="004D7BCB" w:rsidRPr="004D7BCB" w:rsidRDefault="004D7BCB" w:rsidP="004D7BCB">
      <w:pPr>
        <w:numPr>
          <w:ilvl w:val="0"/>
          <w:numId w:val="2"/>
        </w:numPr>
      </w:pPr>
      <w:r w:rsidRPr="004D7BCB">
        <w:rPr>
          <w:b/>
          <w:bCs/>
        </w:rPr>
        <w:t>The Risk:</w:t>
      </w:r>
      <w:r w:rsidRPr="004D7BCB">
        <w:t xml:space="preserve"> This top-heavy funnel creates "serial grant applicants" who prioritize winning judges' approval over market validation, leading to products that never achieve commercial sustainability.</w:t>
      </w:r>
    </w:p>
    <w:p w14:paraId="2CEDB606" w14:textId="77777777" w:rsidR="004D7BCB" w:rsidRPr="004D7BCB" w:rsidRDefault="004D7BCB" w:rsidP="004D7BCB">
      <w:r w:rsidRPr="004D7BCB">
        <w:rPr>
          <w:b/>
          <w:bCs/>
        </w:rPr>
        <w:t>The Credit and Venture Gap</w:t>
      </w:r>
      <w:r w:rsidRPr="004D7BCB">
        <w:t xml:space="preserve"> Traditional bank lending (e.g., TBC </w:t>
      </w:r>
      <w:proofErr w:type="spellStart"/>
      <w:r w:rsidRPr="004D7BCB">
        <w:t>Startuperi</w:t>
      </w:r>
      <w:proofErr w:type="spellEnd"/>
      <w:r w:rsidRPr="004D7BCB">
        <w:t xml:space="preserve">) remains unsuitable for tech innovators. High collateral requirements and "standard SME" definitions fail software and hardware startups whose primary assets are intangible. While "Smart Money" is emerging through networks like </w:t>
      </w:r>
      <w:r w:rsidRPr="004D7BCB">
        <w:rPr>
          <w:b/>
          <w:bCs/>
        </w:rPr>
        <w:t>Axel</w:t>
      </w:r>
      <w:r w:rsidRPr="004D7BCB">
        <w:t xml:space="preserve"> and funds like </w:t>
      </w:r>
      <w:r w:rsidRPr="004D7BCB">
        <w:rPr>
          <w:b/>
          <w:bCs/>
        </w:rPr>
        <w:t>Catapult Georgia</w:t>
      </w:r>
      <w:r w:rsidRPr="004D7BCB">
        <w:t>, the volume of private transaction flow remains insufficient to replace government funding.</w:t>
      </w:r>
    </w:p>
    <w:p w14:paraId="366CCEF6" w14:textId="77777777" w:rsidR="004D7BCB" w:rsidRPr="004D7BCB" w:rsidRDefault="004D7BCB" w:rsidP="004D7BCB">
      <w:r w:rsidRPr="004D7BCB">
        <w:rPr>
          <w:b/>
          <w:bCs/>
        </w:rPr>
        <w:t>Prescriptive Financial Reforms</w:t>
      </w:r>
      <w:r w:rsidRPr="004D7BCB">
        <w:t xml:space="preserve"> To mobilize private capital, Georgia must architect a new incentive structure:</w:t>
      </w:r>
    </w:p>
    <w:p w14:paraId="074C717D" w14:textId="77777777" w:rsidR="004D7BCB" w:rsidRPr="004D7BCB" w:rsidRDefault="004D7BCB" w:rsidP="004D7BCB">
      <w:pPr>
        <w:numPr>
          <w:ilvl w:val="0"/>
          <w:numId w:val="3"/>
        </w:numPr>
      </w:pPr>
      <w:r w:rsidRPr="004D7BCB">
        <w:rPr>
          <w:b/>
          <w:bCs/>
        </w:rPr>
        <w:t>The Norway Model:</w:t>
      </w:r>
      <w:r w:rsidRPr="004D7BCB">
        <w:t xml:space="preserve"> Introduce tax relief for individual angel investors who invest in early-stage startups to shift capital from real estate to technology.</w:t>
      </w:r>
    </w:p>
    <w:p w14:paraId="1AAA6BC7" w14:textId="77777777" w:rsidR="004D7BCB" w:rsidRPr="004D7BCB" w:rsidRDefault="004D7BCB" w:rsidP="004D7BCB">
      <w:pPr>
        <w:numPr>
          <w:ilvl w:val="0"/>
          <w:numId w:val="3"/>
        </w:numPr>
      </w:pPr>
      <w:r w:rsidRPr="004D7BCB">
        <w:rPr>
          <w:b/>
          <w:bCs/>
        </w:rPr>
        <w:t>Matching Transitions:</w:t>
      </w:r>
      <w:r w:rsidRPr="004D7BCB">
        <w:t xml:space="preserve"> Gradually phase out direct 100% grants in favor of matching private investment to ensure market discipline.</w:t>
      </w:r>
    </w:p>
    <w:p w14:paraId="16F580F2" w14:textId="77777777" w:rsidR="004D7BCB" w:rsidRPr="004D7BCB" w:rsidRDefault="004D7BCB" w:rsidP="004D7BCB">
      <w:pPr>
        <w:numPr>
          <w:ilvl w:val="0"/>
          <w:numId w:val="3"/>
        </w:numPr>
      </w:pPr>
      <w:r w:rsidRPr="004D7BCB">
        <w:rPr>
          <w:b/>
          <w:bCs/>
        </w:rPr>
        <w:t>Credit Guarantees:</w:t>
      </w:r>
      <w:r w:rsidRPr="004D7BCB">
        <w:t xml:space="preserve"> Expand </w:t>
      </w:r>
      <w:proofErr w:type="spellStart"/>
      <w:r w:rsidRPr="004D7BCB">
        <w:t>InnovFin</w:t>
      </w:r>
      <w:proofErr w:type="spellEnd"/>
      <w:r w:rsidRPr="004D7BCB">
        <w:t>-style programs that allow startups to provide 50% less collateral.</w:t>
      </w:r>
    </w:p>
    <w:p w14:paraId="63607A9C" w14:textId="77777777" w:rsidR="004D7BCB" w:rsidRPr="004D7BCB" w:rsidRDefault="004D7BCB" w:rsidP="004D7BCB">
      <w:pPr>
        <w:rPr>
          <w:b/>
          <w:bCs/>
        </w:rPr>
      </w:pPr>
      <w:r w:rsidRPr="004D7BCB">
        <w:rPr>
          <w:b/>
          <w:bCs/>
        </w:rPr>
        <w:t>4. Human Capital: Cultivating Talent and the Entrepreneurial Mindset</w:t>
      </w:r>
    </w:p>
    <w:p w14:paraId="074CA371" w14:textId="77777777" w:rsidR="004D7BCB" w:rsidRPr="004D7BCB" w:rsidRDefault="004D7BCB" w:rsidP="004D7BCB">
      <w:r w:rsidRPr="004D7BCB">
        <w:t>Human capital is the primary asset of a startup ecosystem. The current mismatch between university curricula and market needs is the single greatest strategic bottleneck to Georgia’s growth.</w:t>
      </w:r>
    </w:p>
    <w:p w14:paraId="2226E7B1" w14:textId="77777777" w:rsidR="004D7BCB" w:rsidRPr="004D7BCB" w:rsidRDefault="004D7BCB" w:rsidP="004D7BCB">
      <w:r w:rsidRPr="004D7BCB">
        <w:rPr>
          <w:b/>
          <w:bCs/>
        </w:rPr>
        <w:t>Skills Gap Analysis</w:t>
      </w:r>
      <w:r w:rsidRPr="004D7BCB">
        <w:t xml:space="preserve"> Georgia’s Human Capital Index (HCI) score of 0.57 and its PISA rankings—</w:t>
      </w:r>
      <w:r w:rsidRPr="004D7BCB">
        <w:rPr>
          <w:b/>
          <w:bCs/>
        </w:rPr>
        <w:t>8th to last out of 79 countries in science and math</w:t>
      </w:r>
      <w:r w:rsidRPr="004D7BCB">
        <w:t>—point to a fundamental crisis in the talent pipeline. The scarcest roles identified include:</w:t>
      </w:r>
    </w:p>
    <w:p w14:paraId="49932946" w14:textId="77777777" w:rsidR="004D7BCB" w:rsidRPr="004D7BCB" w:rsidRDefault="004D7BCB" w:rsidP="004D7BCB">
      <w:pPr>
        <w:numPr>
          <w:ilvl w:val="0"/>
          <w:numId w:val="4"/>
        </w:numPr>
      </w:pPr>
      <w:r w:rsidRPr="004D7BCB">
        <w:rPr>
          <w:b/>
          <w:bCs/>
        </w:rPr>
        <w:t>Mobile App Developers and Data Scientists:</w:t>
      </w:r>
      <w:r w:rsidRPr="004D7BCB">
        <w:t xml:space="preserve"> High demand from international outsourcers (EPAM, </w:t>
      </w:r>
      <w:proofErr w:type="spellStart"/>
      <w:r w:rsidRPr="004D7BCB">
        <w:t>Exadel</w:t>
      </w:r>
      <w:proofErr w:type="spellEnd"/>
      <w:r w:rsidRPr="004D7BCB">
        <w:t>) creates a "brain drain" from the local startup scene.</w:t>
      </w:r>
    </w:p>
    <w:p w14:paraId="2DA33035" w14:textId="77777777" w:rsidR="004D7BCB" w:rsidRPr="004D7BCB" w:rsidRDefault="004D7BCB" w:rsidP="004D7BCB">
      <w:pPr>
        <w:numPr>
          <w:ilvl w:val="0"/>
          <w:numId w:val="4"/>
        </w:numPr>
      </w:pPr>
      <w:r w:rsidRPr="004D7BCB">
        <w:rPr>
          <w:b/>
          <w:bCs/>
        </w:rPr>
        <w:t>Growth Marketing Managers:</w:t>
      </w:r>
      <w:r w:rsidRPr="004D7BCB">
        <w:t xml:space="preserve"> A lack of professionals capable of leading data-driven, international expansion.</w:t>
      </w:r>
    </w:p>
    <w:p w14:paraId="687D298F" w14:textId="77777777" w:rsidR="004D7BCB" w:rsidRPr="004D7BCB" w:rsidRDefault="004D7BCB" w:rsidP="004D7BCB">
      <w:pPr>
        <w:numPr>
          <w:ilvl w:val="0"/>
          <w:numId w:val="4"/>
        </w:numPr>
      </w:pPr>
      <w:r w:rsidRPr="004D7BCB">
        <w:rPr>
          <w:b/>
          <w:bCs/>
        </w:rPr>
        <w:lastRenderedPageBreak/>
        <w:t>Tech Co-founders:</w:t>
      </w:r>
      <w:r w:rsidRPr="004D7BCB">
        <w:t xml:space="preserve"> A shortage of technical experts willing to take the entrepreneurial risk, often preferring stable, high-paying corporate roles.</w:t>
      </w:r>
    </w:p>
    <w:p w14:paraId="24B037A8" w14:textId="77777777" w:rsidR="004D7BCB" w:rsidRPr="004D7BCB" w:rsidRDefault="004D7BCB" w:rsidP="004D7BCB">
      <w:r w:rsidRPr="004D7BCB">
        <w:rPr>
          <w:b/>
          <w:bCs/>
        </w:rPr>
        <w:t>Intrapreneurship and Gender Inclusion</w:t>
      </w:r>
      <w:r w:rsidRPr="004D7BCB">
        <w:t xml:space="preserve"> </w:t>
      </w:r>
      <w:proofErr w:type="gramStart"/>
      <w:r w:rsidRPr="004D7BCB">
        <w:t>The</w:t>
      </w:r>
      <w:proofErr w:type="gramEnd"/>
      <w:r w:rsidRPr="004D7BCB">
        <w:t xml:space="preserve"> </w:t>
      </w:r>
      <w:r w:rsidRPr="004D7BCB">
        <w:rPr>
          <w:b/>
          <w:bCs/>
        </w:rPr>
        <w:t>TBC "Startup Leave"</w:t>
      </w:r>
      <w:r w:rsidRPr="004D7BCB">
        <w:t xml:space="preserve"> and </w:t>
      </w:r>
      <w:r w:rsidRPr="004D7BCB">
        <w:rPr>
          <w:b/>
          <w:bCs/>
        </w:rPr>
        <w:t>Redberry Startup Studio</w:t>
      </w:r>
      <w:r w:rsidRPr="004D7BCB">
        <w:t xml:space="preserve"> models represent viable pathways for corporate-to-startup talent transition. However, the ecosystem remains gender-imbalanced. Female founders are underrepresented due to lower social risk appetite and a lack of visible role models; promoting women in technical co-founder roles is a strategic necessity for diversity of thought and innovation.</w:t>
      </w:r>
    </w:p>
    <w:p w14:paraId="1753E04E" w14:textId="77777777" w:rsidR="004D7BCB" w:rsidRPr="004D7BCB" w:rsidRDefault="004D7BCB" w:rsidP="004D7BCB">
      <w:pPr>
        <w:rPr>
          <w:b/>
          <w:bCs/>
        </w:rPr>
      </w:pPr>
      <w:r w:rsidRPr="004D7BCB">
        <w:rPr>
          <w:b/>
          <w:bCs/>
        </w:rPr>
        <w:t xml:space="preserve">5. Sector-Specific Deep-Dives: </w:t>
      </w:r>
      <w:proofErr w:type="spellStart"/>
      <w:r w:rsidRPr="004D7BCB">
        <w:rPr>
          <w:b/>
          <w:bCs/>
        </w:rPr>
        <w:t>Agritech</w:t>
      </w:r>
      <w:proofErr w:type="spellEnd"/>
      <w:r w:rsidRPr="004D7BCB">
        <w:rPr>
          <w:b/>
          <w:bCs/>
        </w:rPr>
        <w:t xml:space="preserve">, Edtech, </w:t>
      </w:r>
      <w:proofErr w:type="spellStart"/>
      <w:r w:rsidRPr="004D7BCB">
        <w:rPr>
          <w:b/>
          <w:bCs/>
        </w:rPr>
        <w:t>Healthtech</w:t>
      </w:r>
      <w:proofErr w:type="spellEnd"/>
      <w:r w:rsidRPr="004D7BCB">
        <w:rPr>
          <w:b/>
          <w:bCs/>
        </w:rPr>
        <w:t>, and Cleantech</w:t>
      </w:r>
    </w:p>
    <w:p w14:paraId="07D0D3A0" w14:textId="77777777" w:rsidR="004D7BCB" w:rsidRPr="004D7BCB" w:rsidRDefault="004D7BCB" w:rsidP="004D7BCB">
      <w:r w:rsidRPr="004D7BCB">
        <w:t>These four sectors offer a "developmental multiplier," where startup success directly correlates to improved rural productivity, human capital formation, and climate resilience.</w:t>
      </w:r>
    </w:p>
    <w:p w14:paraId="715358F2" w14:textId="77777777" w:rsidR="004D7BCB" w:rsidRPr="004D7BCB" w:rsidRDefault="004D7BCB" w:rsidP="004D7BCB">
      <w:pPr>
        <w:numPr>
          <w:ilvl w:val="0"/>
          <w:numId w:val="5"/>
        </w:numPr>
      </w:pPr>
      <w:proofErr w:type="spellStart"/>
      <w:r w:rsidRPr="004D7BCB">
        <w:rPr>
          <w:b/>
          <w:bCs/>
        </w:rPr>
        <w:t>Agritech</w:t>
      </w:r>
      <w:proofErr w:type="spellEnd"/>
    </w:p>
    <w:p w14:paraId="2588221E" w14:textId="77777777" w:rsidR="004D7BCB" w:rsidRPr="004D7BCB" w:rsidRDefault="004D7BCB" w:rsidP="004D7BCB">
      <w:pPr>
        <w:numPr>
          <w:ilvl w:val="1"/>
          <w:numId w:val="5"/>
        </w:numPr>
      </w:pPr>
      <w:r w:rsidRPr="004D7BCB">
        <w:rPr>
          <w:b/>
          <w:bCs/>
        </w:rPr>
        <w:t>a. Barriers:</w:t>
      </w:r>
      <w:r w:rsidRPr="004D7BCB">
        <w:t xml:space="preserve"> A massive productivity gap exists, as 39% of the workforce is in agriculture but contributes only 8% to GDP. Stigmas around "village work" and low digital literacy among farmers hinder adoption.</w:t>
      </w:r>
    </w:p>
    <w:p w14:paraId="7291A972" w14:textId="77777777" w:rsidR="004D7BCB" w:rsidRPr="004D7BCB" w:rsidRDefault="004D7BCB" w:rsidP="004D7BCB">
      <w:pPr>
        <w:numPr>
          <w:ilvl w:val="1"/>
          <w:numId w:val="5"/>
        </w:numPr>
      </w:pPr>
      <w:r w:rsidRPr="004D7BCB">
        <w:rPr>
          <w:b/>
          <w:bCs/>
        </w:rPr>
        <w:t>b. Success Stories:</w:t>
      </w:r>
      <w:r w:rsidRPr="004D7BCB">
        <w:t xml:space="preserve"> </w:t>
      </w:r>
      <w:proofErr w:type="spellStart"/>
      <w:r w:rsidRPr="004D7BCB">
        <w:rPr>
          <w:b/>
          <w:bCs/>
        </w:rPr>
        <w:t>Agronavti</w:t>
      </w:r>
      <w:proofErr w:type="spellEnd"/>
      <w:r w:rsidRPr="004D7BCB">
        <w:t xml:space="preserve"> and </w:t>
      </w:r>
      <w:proofErr w:type="spellStart"/>
      <w:r w:rsidRPr="004D7BCB">
        <w:rPr>
          <w:b/>
          <w:bCs/>
        </w:rPr>
        <w:t>SpaceFarms</w:t>
      </w:r>
      <w:proofErr w:type="spellEnd"/>
      <w:r w:rsidRPr="004D7BCB">
        <w:t xml:space="preserve"> demonstrate the potential of connecting farmers to markets and utilizing automated vertical farming, though they require a "marriage" of agronomic grounding and technical expertise to scale.</w:t>
      </w:r>
    </w:p>
    <w:p w14:paraId="591E5E5E" w14:textId="77777777" w:rsidR="004D7BCB" w:rsidRPr="004D7BCB" w:rsidRDefault="004D7BCB" w:rsidP="004D7BCB">
      <w:pPr>
        <w:numPr>
          <w:ilvl w:val="0"/>
          <w:numId w:val="5"/>
        </w:numPr>
      </w:pPr>
      <w:r w:rsidRPr="004D7BCB">
        <w:rPr>
          <w:b/>
          <w:bCs/>
        </w:rPr>
        <w:t>Edtech</w:t>
      </w:r>
    </w:p>
    <w:p w14:paraId="7D1721F9" w14:textId="77777777" w:rsidR="004D7BCB" w:rsidRPr="004D7BCB" w:rsidRDefault="004D7BCB" w:rsidP="004D7BCB">
      <w:pPr>
        <w:numPr>
          <w:ilvl w:val="1"/>
          <w:numId w:val="5"/>
        </w:numPr>
      </w:pPr>
      <w:r w:rsidRPr="004D7BCB">
        <w:rPr>
          <w:b/>
          <w:bCs/>
        </w:rPr>
        <w:t>a. Barriers:</w:t>
      </w:r>
      <w:r w:rsidRPr="004D7BCB">
        <w:t xml:space="preserve"> High demand is stifled by government-dominated infrastructure. The Ministry of Education’s internal software development often "crowds out" local startups by determining the base software for public schools.</w:t>
      </w:r>
    </w:p>
    <w:p w14:paraId="7B7F47E3" w14:textId="77777777" w:rsidR="004D7BCB" w:rsidRPr="004D7BCB" w:rsidRDefault="004D7BCB" w:rsidP="004D7BCB">
      <w:pPr>
        <w:numPr>
          <w:ilvl w:val="1"/>
          <w:numId w:val="5"/>
        </w:numPr>
      </w:pPr>
      <w:r w:rsidRPr="004D7BCB">
        <w:rPr>
          <w:b/>
          <w:bCs/>
        </w:rPr>
        <w:t>b. Success Stories:</w:t>
      </w:r>
      <w:r w:rsidRPr="004D7BCB">
        <w:t xml:space="preserve"> </w:t>
      </w:r>
      <w:r w:rsidRPr="004D7BCB">
        <w:rPr>
          <w:b/>
          <w:bCs/>
        </w:rPr>
        <w:t>Izrune.ge</w:t>
      </w:r>
      <w:r w:rsidRPr="004D7BCB">
        <w:t xml:space="preserve"> and </w:t>
      </w:r>
      <w:proofErr w:type="spellStart"/>
      <w:r w:rsidRPr="004D7BCB">
        <w:rPr>
          <w:b/>
          <w:bCs/>
        </w:rPr>
        <w:t>SchoolBook</w:t>
      </w:r>
      <w:proofErr w:type="spellEnd"/>
      <w:r w:rsidRPr="004D7BCB">
        <w:t xml:space="preserve"> have found success in the private sector and parent-driven demand, proving that parents are willing to pay for quality digital education when the state platform is insufficient.</w:t>
      </w:r>
    </w:p>
    <w:p w14:paraId="5CF5C82C" w14:textId="77777777" w:rsidR="004D7BCB" w:rsidRPr="004D7BCB" w:rsidRDefault="004D7BCB" w:rsidP="004D7BCB">
      <w:pPr>
        <w:numPr>
          <w:ilvl w:val="0"/>
          <w:numId w:val="5"/>
        </w:numPr>
      </w:pPr>
      <w:proofErr w:type="spellStart"/>
      <w:r w:rsidRPr="004D7BCB">
        <w:rPr>
          <w:b/>
          <w:bCs/>
        </w:rPr>
        <w:t>Healthtech</w:t>
      </w:r>
      <w:proofErr w:type="spellEnd"/>
    </w:p>
    <w:p w14:paraId="5C0D31CD" w14:textId="77777777" w:rsidR="004D7BCB" w:rsidRPr="004D7BCB" w:rsidRDefault="004D7BCB" w:rsidP="004D7BCB">
      <w:pPr>
        <w:numPr>
          <w:ilvl w:val="1"/>
          <w:numId w:val="5"/>
        </w:numPr>
      </w:pPr>
      <w:r w:rsidRPr="004D7BCB">
        <w:rPr>
          <w:b/>
          <w:bCs/>
        </w:rPr>
        <w:t>a. Barriers:</w:t>
      </w:r>
      <w:r w:rsidRPr="004D7BCB">
        <w:t xml:space="preserve"> A persistent "trust gap" in telemedicine remains, with patients preferring face-to-face visits even when 90% of primary care could be remote. The market is currently dominated by corporate-led subsidiaries (</w:t>
      </w:r>
      <w:proofErr w:type="spellStart"/>
      <w:r w:rsidRPr="004D7BCB">
        <w:t>RedMed</w:t>
      </w:r>
      <w:proofErr w:type="spellEnd"/>
      <w:r w:rsidRPr="004D7BCB">
        <w:t xml:space="preserve">, </w:t>
      </w:r>
      <w:proofErr w:type="spellStart"/>
      <w:r w:rsidRPr="004D7BCB">
        <w:t>Ekimo</w:t>
      </w:r>
      <w:proofErr w:type="spellEnd"/>
      <w:r w:rsidRPr="004D7BCB">
        <w:t>).</w:t>
      </w:r>
    </w:p>
    <w:p w14:paraId="013C5BF2" w14:textId="77777777" w:rsidR="004D7BCB" w:rsidRPr="004D7BCB" w:rsidRDefault="004D7BCB" w:rsidP="004D7BCB">
      <w:pPr>
        <w:numPr>
          <w:ilvl w:val="1"/>
          <w:numId w:val="5"/>
        </w:numPr>
      </w:pPr>
      <w:r w:rsidRPr="004D7BCB">
        <w:rPr>
          <w:b/>
          <w:bCs/>
        </w:rPr>
        <w:lastRenderedPageBreak/>
        <w:t>b. Success Stories:</w:t>
      </w:r>
      <w:r w:rsidRPr="004D7BCB">
        <w:t xml:space="preserve"> </w:t>
      </w:r>
      <w:proofErr w:type="spellStart"/>
      <w:r w:rsidRPr="004D7BCB">
        <w:rPr>
          <w:b/>
          <w:bCs/>
        </w:rPr>
        <w:t>RedMed</w:t>
      </w:r>
      <w:proofErr w:type="spellEnd"/>
      <w:r w:rsidRPr="004D7BCB">
        <w:t xml:space="preserve"> (TBC Insurance) and </w:t>
      </w:r>
      <w:proofErr w:type="spellStart"/>
      <w:r w:rsidRPr="004D7BCB">
        <w:rPr>
          <w:b/>
          <w:bCs/>
        </w:rPr>
        <w:t>Ekimo</w:t>
      </w:r>
      <w:proofErr w:type="spellEnd"/>
      <w:r w:rsidRPr="004D7BCB">
        <w:t xml:space="preserve"> (GHG) have utilized corporate capital to overcome initial trust barriers and build operational health systems.</w:t>
      </w:r>
    </w:p>
    <w:p w14:paraId="039FF78F" w14:textId="77777777" w:rsidR="004D7BCB" w:rsidRPr="004D7BCB" w:rsidRDefault="004D7BCB" w:rsidP="004D7BCB">
      <w:pPr>
        <w:numPr>
          <w:ilvl w:val="0"/>
          <w:numId w:val="5"/>
        </w:numPr>
      </w:pPr>
      <w:r w:rsidRPr="004D7BCB">
        <w:rPr>
          <w:b/>
          <w:bCs/>
        </w:rPr>
        <w:t>Cleantech</w:t>
      </w:r>
    </w:p>
    <w:p w14:paraId="2AE8D59C" w14:textId="77777777" w:rsidR="004D7BCB" w:rsidRPr="004D7BCB" w:rsidRDefault="004D7BCB" w:rsidP="004D7BCB">
      <w:pPr>
        <w:numPr>
          <w:ilvl w:val="1"/>
          <w:numId w:val="5"/>
        </w:numPr>
      </w:pPr>
      <w:r w:rsidRPr="004D7BCB">
        <w:rPr>
          <w:b/>
          <w:bCs/>
        </w:rPr>
        <w:t>a. Barriers:</w:t>
      </w:r>
      <w:r w:rsidRPr="004D7BCB">
        <w:t xml:space="preserve"> This is the least developed sector. It is hardware-heavy and R&amp;D-intensive, requiring "patient capital" and longer funding cycles (average 3.8 years to Series A) than standard SaaS startups.</w:t>
      </w:r>
    </w:p>
    <w:p w14:paraId="41578A89" w14:textId="77777777" w:rsidR="004D7BCB" w:rsidRPr="004D7BCB" w:rsidRDefault="004D7BCB" w:rsidP="004D7BCB">
      <w:pPr>
        <w:numPr>
          <w:ilvl w:val="1"/>
          <w:numId w:val="5"/>
        </w:numPr>
      </w:pPr>
      <w:r w:rsidRPr="004D7BCB">
        <w:rPr>
          <w:b/>
          <w:bCs/>
        </w:rPr>
        <w:t>b. Success Stories:</w:t>
      </w:r>
      <w:r w:rsidRPr="004D7BCB">
        <w:t xml:space="preserve"> </w:t>
      </w:r>
      <w:r w:rsidRPr="004D7BCB">
        <w:rPr>
          <w:b/>
          <w:bCs/>
        </w:rPr>
        <w:t>BIOCURE</w:t>
      </w:r>
      <w:r w:rsidRPr="004D7BCB">
        <w:t xml:space="preserve"> (oil spill cleanup) and </w:t>
      </w:r>
      <w:proofErr w:type="spellStart"/>
      <w:r w:rsidRPr="004D7BCB">
        <w:rPr>
          <w:b/>
          <w:bCs/>
        </w:rPr>
        <w:t>BioDiesel</w:t>
      </w:r>
      <w:proofErr w:type="spellEnd"/>
      <w:r w:rsidRPr="004D7BCB">
        <w:t xml:space="preserve"> prove that Georgian R&amp;D can produce world-class environmental solutions when given sufficient development time.</w:t>
      </w:r>
    </w:p>
    <w:p w14:paraId="566A818C" w14:textId="77777777" w:rsidR="004D7BCB" w:rsidRPr="004D7BCB" w:rsidRDefault="004D7BCB" w:rsidP="004D7BCB">
      <w:pPr>
        <w:rPr>
          <w:b/>
          <w:bCs/>
        </w:rPr>
      </w:pPr>
      <w:r w:rsidRPr="004D7BCB">
        <w:rPr>
          <w:b/>
          <w:bCs/>
        </w:rPr>
        <w:t>6. Strategic Policy Recommendations &amp; Roadmap</w:t>
      </w:r>
    </w:p>
    <w:p w14:paraId="4EF8BCDD" w14:textId="77777777" w:rsidR="004D7BCB" w:rsidRPr="004D7BCB" w:rsidRDefault="004D7BCB" w:rsidP="004D7BCB">
      <w:r w:rsidRPr="004D7BCB">
        <w:t>Georgia must adopt a holistic, stage-specific support system to move from "activation" to regional leadership.</w:t>
      </w:r>
    </w:p>
    <w:p w14:paraId="37723E6E" w14:textId="77777777" w:rsidR="004D7BCB" w:rsidRPr="004D7BCB" w:rsidRDefault="004D7BCB" w:rsidP="004D7BCB">
      <w:r w:rsidRPr="004D7BCB">
        <w:rPr>
          <w:b/>
          <w:bCs/>
        </w:rPr>
        <w:t>Actionable Policy Matrix</w:t>
      </w:r>
    </w:p>
    <w:p w14:paraId="34D1DB20" w14:textId="77777777" w:rsidR="004D7BCB" w:rsidRPr="004D7BCB" w:rsidRDefault="004D7BCB" w:rsidP="004D7BCB">
      <w:pPr>
        <w:numPr>
          <w:ilvl w:val="0"/>
          <w:numId w:val="6"/>
        </w:numPr>
      </w:pPr>
      <w:r w:rsidRPr="004D7BCB">
        <w:rPr>
          <w:b/>
          <w:bCs/>
        </w:rPr>
        <w:t>Regulatory:</w:t>
      </w:r>
      <w:r w:rsidRPr="004D7BCB">
        <w:t xml:space="preserve"> </w:t>
      </w:r>
      <w:r w:rsidRPr="004D7BCB">
        <w:rPr>
          <w:b/>
          <w:bCs/>
        </w:rPr>
        <w:t>Raise the import tax threshold</w:t>
      </w:r>
      <w:r w:rsidRPr="004D7BCB">
        <w:t xml:space="preserve"> from GEL 300 for prototype components to facilitate hardware R&amp;D; </w:t>
      </w:r>
      <w:r w:rsidRPr="004D7BCB">
        <w:rPr>
          <w:b/>
          <w:bCs/>
        </w:rPr>
        <w:t>democratize the edtech market</w:t>
      </w:r>
      <w:r w:rsidRPr="004D7BCB">
        <w:t xml:space="preserve"> by allowing schools the autonomy to adopt third-party startup solutions.</w:t>
      </w:r>
    </w:p>
    <w:p w14:paraId="71D03A4E" w14:textId="77777777" w:rsidR="004D7BCB" w:rsidRPr="004D7BCB" w:rsidRDefault="004D7BCB" w:rsidP="004D7BCB">
      <w:pPr>
        <w:numPr>
          <w:ilvl w:val="0"/>
          <w:numId w:val="6"/>
        </w:numPr>
      </w:pPr>
      <w:r w:rsidRPr="004D7BCB">
        <w:rPr>
          <w:b/>
          <w:bCs/>
        </w:rPr>
        <w:t>Financial:</w:t>
      </w:r>
      <w:r w:rsidRPr="004D7BCB">
        <w:t xml:space="preserve"> </w:t>
      </w:r>
      <w:r w:rsidRPr="004D7BCB">
        <w:rPr>
          <w:b/>
          <w:bCs/>
        </w:rPr>
        <w:t>Shift from direct grants to matching private investment</w:t>
      </w:r>
      <w:r w:rsidRPr="004D7BCB">
        <w:t xml:space="preserve"> to foster "Smart Money"; </w:t>
      </w:r>
      <w:r w:rsidRPr="004D7BCB">
        <w:rPr>
          <w:b/>
          <w:bCs/>
        </w:rPr>
        <w:t>introduce tax incentives for angel investors</w:t>
      </w:r>
      <w:r w:rsidRPr="004D7BCB">
        <w:t xml:space="preserve"> based on the Norway model.</w:t>
      </w:r>
    </w:p>
    <w:p w14:paraId="5C59C0D0" w14:textId="77777777" w:rsidR="004D7BCB" w:rsidRPr="004D7BCB" w:rsidRDefault="004D7BCB" w:rsidP="004D7BCB">
      <w:pPr>
        <w:numPr>
          <w:ilvl w:val="0"/>
          <w:numId w:val="6"/>
        </w:numPr>
      </w:pPr>
      <w:r w:rsidRPr="004D7BCB">
        <w:rPr>
          <w:b/>
          <w:bCs/>
        </w:rPr>
        <w:t>Innovation:</w:t>
      </w:r>
      <w:r w:rsidRPr="004D7BCB">
        <w:t xml:space="preserve"> </w:t>
      </w:r>
      <w:r w:rsidRPr="004D7BCB">
        <w:rPr>
          <w:b/>
          <w:bCs/>
        </w:rPr>
        <w:t>Foster R&amp;D "marriages"</w:t>
      </w:r>
      <w:r w:rsidRPr="004D7BCB">
        <w:t xml:space="preserve"> in university labs between senior scientists (technical depth) and young entrepreneurs (market agility).</w:t>
      </w:r>
    </w:p>
    <w:p w14:paraId="7A46DCC7" w14:textId="77777777" w:rsidR="004D7BCB" w:rsidRPr="004D7BCB" w:rsidRDefault="004D7BCB" w:rsidP="004D7BCB">
      <w:pPr>
        <w:numPr>
          <w:ilvl w:val="0"/>
          <w:numId w:val="6"/>
        </w:numPr>
      </w:pPr>
      <w:r w:rsidRPr="004D7BCB">
        <w:rPr>
          <w:b/>
          <w:bCs/>
        </w:rPr>
        <w:t>Inclusion:</w:t>
      </w:r>
      <w:r w:rsidRPr="004D7BCB">
        <w:t xml:space="preserve"> </w:t>
      </w:r>
      <w:r w:rsidRPr="004D7BCB">
        <w:rPr>
          <w:b/>
          <w:bCs/>
        </w:rPr>
        <w:t>Launch targeted grants and "Founder Awards"</w:t>
      </w:r>
      <w:r w:rsidRPr="004D7BCB">
        <w:t xml:space="preserve"> specifically for female-led tech startups to address the gender and risk-appetite gap.</w:t>
      </w:r>
    </w:p>
    <w:p w14:paraId="0B90A9BE" w14:textId="77777777" w:rsidR="004D7BCB" w:rsidRPr="004D7BCB" w:rsidRDefault="004D7BCB" w:rsidP="004D7BCB">
      <w:r w:rsidRPr="004D7BCB">
        <w:rPr>
          <w:b/>
          <w:bCs/>
        </w:rPr>
        <w:t>Global Expansion Strategy</w:t>
      </w:r>
      <w:r w:rsidRPr="004D7BCB">
        <w:t xml:space="preserve"> Georgia must leverage the </w:t>
      </w:r>
      <w:r w:rsidRPr="004D7BCB">
        <w:rPr>
          <w:b/>
          <w:bCs/>
        </w:rPr>
        <w:t>"Globalize"</w:t>
      </w:r>
      <w:r w:rsidRPr="004D7BCB">
        <w:t xml:space="preserve"> diaspora network, which includes </w:t>
      </w:r>
      <w:r w:rsidRPr="004D7BCB">
        <w:rPr>
          <w:b/>
          <w:bCs/>
        </w:rPr>
        <w:t>6,000 supporters across 12 countries</w:t>
      </w:r>
      <w:r w:rsidRPr="004D7BCB">
        <w:t>. This network is the key to overcoming the "Made in Georgia" quality perception gap and providing the market research necessary for international scaling. By positioning Georgia as a low-cost, high-efficiency launching ground with a direct bridge to the diaspora, the nation can attract and retain global-caliber talent.</w:t>
      </w:r>
    </w:p>
    <w:p w14:paraId="47CCA3C8" w14:textId="77777777" w:rsidR="004D7BCB" w:rsidRPr="004D7BCB" w:rsidRDefault="004D7BCB" w:rsidP="004D7BCB">
      <w:r w:rsidRPr="004D7BCB">
        <w:rPr>
          <w:b/>
          <w:bCs/>
        </w:rPr>
        <w:lastRenderedPageBreak/>
        <w:t>Final Statement</w:t>
      </w:r>
      <w:r w:rsidRPr="004D7BCB">
        <w:t xml:space="preserve"> By bridging the gap between its world-class ease of doing business and its nascent innovation capacity, Georgia can evolve into a prominent regional technology leader.</w:t>
      </w:r>
    </w:p>
    <w:p w14:paraId="7C787D85" w14:textId="77777777" w:rsidR="00BD63EC" w:rsidRDefault="00BD63EC"/>
    <w:sectPr w:rsidR="00BD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5A8"/>
    <w:multiLevelType w:val="multilevel"/>
    <w:tmpl w:val="968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543"/>
    <w:multiLevelType w:val="multilevel"/>
    <w:tmpl w:val="2F6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94234"/>
    <w:multiLevelType w:val="multilevel"/>
    <w:tmpl w:val="1D2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871D6"/>
    <w:multiLevelType w:val="multilevel"/>
    <w:tmpl w:val="DCD8D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26CA6"/>
    <w:multiLevelType w:val="multilevel"/>
    <w:tmpl w:val="CED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34C34"/>
    <w:multiLevelType w:val="multilevel"/>
    <w:tmpl w:val="4A2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40231">
    <w:abstractNumId w:val="5"/>
  </w:num>
  <w:num w:numId="2" w16cid:durableId="1477407294">
    <w:abstractNumId w:val="4"/>
  </w:num>
  <w:num w:numId="3" w16cid:durableId="226305380">
    <w:abstractNumId w:val="1"/>
  </w:num>
  <w:num w:numId="4" w16cid:durableId="2004385648">
    <w:abstractNumId w:val="2"/>
  </w:num>
  <w:num w:numId="5" w16cid:durableId="920338115">
    <w:abstractNumId w:val="3"/>
  </w:num>
  <w:num w:numId="6" w16cid:durableId="164091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CB"/>
    <w:rsid w:val="003865EE"/>
    <w:rsid w:val="004D7BCB"/>
    <w:rsid w:val="00837F5D"/>
    <w:rsid w:val="00BD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CCC9"/>
  <w15:chartTrackingRefBased/>
  <w15:docId w15:val="{29F40C14-3285-4307-AD81-B01F36B0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BCB"/>
    <w:rPr>
      <w:rFonts w:eastAsiaTheme="majorEastAsia" w:cstheme="majorBidi"/>
      <w:color w:val="272727" w:themeColor="text1" w:themeTint="D8"/>
    </w:rPr>
  </w:style>
  <w:style w:type="paragraph" w:styleId="Title">
    <w:name w:val="Title"/>
    <w:basedOn w:val="Normal"/>
    <w:next w:val="Normal"/>
    <w:link w:val="TitleChar"/>
    <w:uiPriority w:val="10"/>
    <w:qFormat/>
    <w:rsid w:val="004D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BCB"/>
    <w:pPr>
      <w:spacing w:before="160"/>
      <w:jc w:val="center"/>
    </w:pPr>
    <w:rPr>
      <w:i/>
      <w:iCs/>
      <w:color w:val="404040" w:themeColor="text1" w:themeTint="BF"/>
    </w:rPr>
  </w:style>
  <w:style w:type="character" w:customStyle="1" w:styleId="QuoteChar">
    <w:name w:val="Quote Char"/>
    <w:basedOn w:val="DefaultParagraphFont"/>
    <w:link w:val="Quote"/>
    <w:uiPriority w:val="29"/>
    <w:rsid w:val="004D7BCB"/>
    <w:rPr>
      <w:i/>
      <w:iCs/>
      <w:color w:val="404040" w:themeColor="text1" w:themeTint="BF"/>
    </w:rPr>
  </w:style>
  <w:style w:type="paragraph" w:styleId="ListParagraph">
    <w:name w:val="List Paragraph"/>
    <w:basedOn w:val="Normal"/>
    <w:uiPriority w:val="34"/>
    <w:qFormat/>
    <w:rsid w:val="004D7BCB"/>
    <w:pPr>
      <w:ind w:left="720"/>
      <w:contextualSpacing/>
    </w:pPr>
  </w:style>
  <w:style w:type="character" w:styleId="IntenseEmphasis">
    <w:name w:val="Intense Emphasis"/>
    <w:basedOn w:val="DefaultParagraphFont"/>
    <w:uiPriority w:val="21"/>
    <w:qFormat/>
    <w:rsid w:val="004D7BCB"/>
    <w:rPr>
      <w:i/>
      <w:iCs/>
      <w:color w:val="0F4761" w:themeColor="accent1" w:themeShade="BF"/>
    </w:rPr>
  </w:style>
  <w:style w:type="paragraph" w:styleId="IntenseQuote">
    <w:name w:val="Intense Quote"/>
    <w:basedOn w:val="Normal"/>
    <w:next w:val="Normal"/>
    <w:link w:val="IntenseQuoteChar"/>
    <w:uiPriority w:val="30"/>
    <w:qFormat/>
    <w:rsid w:val="004D7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BCB"/>
    <w:rPr>
      <w:i/>
      <w:iCs/>
      <w:color w:val="0F4761" w:themeColor="accent1" w:themeShade="BF"/>
    </w:rPr>
  </w:style>
  <w:style w:type="character" w:styleId="IntenseReference">
    <w:name w:val="Intense Reference"/>
    <w:basedOn w:val="DefaultParagraphFont"/>
    <w:uiPriority w:val="32"/>
    <w:qFormat/>
    <w:rsid w:val="004D7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1648</Words>
  <Characters>9395</Characters>
  <Application>Microsoft Office Word</Application>
  <DocSecurity>0</DocSecurity>
  <Lines>78</Lines>
  <Paragraphs>22</Paragraphs>
  <ScaleCrop>false</ScaleCrop>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 Shonia</dc:creator>
  <cp:keywords/>
  <dc:description/>
  <cp:lastModifiedBy>Gela Shonia</cp:lastModifiedBy>
  <cp:revision>1</cp:revision>
  <dcterms:created xsi:type="dcterms:W3CDTF">2026-07-12T12:09:00Z</dcterms:created>
  <dcterms:modified xsi:type="dcterms:W3CDTF">2026-07-12T12:09:00Z</dcterms:modified>
</cp:coreProperties>
</file>