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Registradores de funções especiais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Acumulador (E0H), B(F0H), PSW(D0H), IP(B8H), P3(B0H), IE(A8H), P2(A0H), SCON(98H), SBUF(99H), P1(90H), TCON(88H), TMOD(89H), TL0(8AH), TL1(8BH), TH0(8CH), TH1(8DH), P0(80H), SP(81H),  DPTR(DPL 82H e DPH 83H), PCON(87H)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Temporizadores/contadores e interrupções: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  <w:t xml:space="preserve">O 8051 possui dois módulos temporizadores/contadores (</w:t>
      </w:r>
      <w:r w:rsidDel="00000000" w:rsidR="00000000" w:rsidRPr="00000000">
        <w:rPr>
          <w:shd w:fill="6aa84f" w:val="clear"/>
          <w:rtl w:val="0"/>
        </w:rPr>
        <w:t xml:space="preserve">Timer 0 e Timer 1</w:t>
      </w:r>
      <w:r w:rsidDel="00000000" w:rsidR="00000000" w:rsidRPr="00000000">
        <w:rPr>
          <w:rtl w:val="0"/>
        </w:rPr>
        <w:t xml:space="preserve">) de 16 bits. Quando </w:t>
      </w:r>
      <w:r w:rsidDel="00000000" w:rsidR="00000000" w:rsidRPr="00000000">
        <w:rPr>
          <w:shd w:fill="6aa84f" w:val="clear"/>
          <w:rtl w:val="0"/>
        </w:rPr>
        <w:t xml:space="preserve">na função temporizador, o módulo utiliza um sinal de referência 12 vezes menor que a frequência do oscilador</w:t>
      </w:r>
      <w:r w:rsidDel="00000000" w:rsidR="00000000" w:rsidRPr="00000000">
        <w:rPr>
          <w:rtl w:val="0"/>
        </w:rPr>
        <w:t xml:space="preserve">, isto é, na frequência do ciclo de máquina. Já </w:t>
      </w:r>
      <w:r w:rsidDel="00000000" w:rsidR="00000000" w:rsidRPr="00000000">
        <w:rPr>
          <w:shd w:fill="6aa84f" w:val="clear"/>
          <w:rtl w:val="0"/>
        </w:rPr>
        <w:t xml:space="preserve">na função contador, esse módulo utiliza um pino de entrada para contar pulsos</w:t>
      </w:r>
      <w:r w:rsidDel="00000000" w:rsidR="00000000" w:rsidRPr="00000000">
        <w:rPr>
          <w:rtl w:val="0"/>
        </w:rPr>
        <w:t xml:space="preserve">. Os pinos de entrada desses dois módulos são: P3.4 para o Timer0 e P3.5 para o Timer1. </w:t>
      </w:r>
      <w:r w:rsidDel="00000000" w:rsidR="00000000" w:rsidRPr="00000000">
        <w:rPr>
          <w:shd w:fill="6aa84f" w:val="clear"/>
          <w:rtl w:val="0"/>
        </w:rPr>
        <w:t xml:space="preserve">A configuração desses módulos é realizada pelos registradores TCON e TMOD</w:t>
      </w:r>
      <w:r w:rsidDel="00000000" w:rsidR="00000000" w:rsidRPr="00000000">
        <w:rPr>
          <w:rtl w:val="0"/>
        </w:rPr>
        <w:t xml:space="preserve">. Além disso, esses módulos podem gerar interrupções quando a condição de overflow for detectada, isto é, quando o valor  máximo de contagem for obtido. </w:t>
      </w:r>
      <w:r w:rsidDel="00000000" w:rsidR="00000000" w:rsidRPr="00000000">
        <w:rPr>
          <w:shd w:fill="6aa84f" w:val="clear"/>
          <w:rtl w:val="0"/>
        </w:rPr>
        <w:t xml:space="preserve">Deve-se lembrar que o registrador IE tem que ser configurado, caso o programador queira que esses módulos gerem interrupções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6aa84f" w:val="clear"/>
          <w:rtl w:val="0"/>
        </w:rPr>
        <w:t xml:space="preserve">Caso haja a necessidade de mudar o nível de prioridade de uma fonte de interrupção, o registrador IP também deverá ser configurado.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Registradores: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IE (endereço A8H)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29150" cy="1038225"/>
            <wp:effectExtent b="0" l="0" r="0" t="0"/>
            <wp:docPr descr="IE.PNG" id="5" name="image13.png"/>
            <a:graphic>
              <a:graphicData uri="http://schemas.openxmlformats.org/drawingml/2006/picture">
                <pic:pic>
                  <pic:nvPicPr>
                    <pic:cNvPr descr="IE.PNG"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(endereço B8H)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10025" cy="1019175"/>
            <wp:effectExtent b="0" l="0" r="0" t="0"/>
            <wp:docPr descr="IP.PNG" id="2" name="image8.png"/>
            <a:graphic>
              <a:graphicData uri="http://schemas.openxmlformats.org/drawingml/2006/picture">
                <pic:pic>
                  <pic:nvPicPr>
                    <pic:cNvPr descr="IP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TCON (endereço 88H)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24225" cy="514350"/>
            <wp:effectExtent b="0" l="0" r="0" t="0"/>
            <wp:docPr descr="TCON.PNG" id="1" name="image7.png"/>
            <a:graphic>
              <a:graphicData uri="http://schemas.openxmlformats.org/drawingml/2006/picture">
                <pic:pic>
                  <pic:nvPicPr>
                    <pic:cNvPr descr="TCON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Esses flip-flops são configurados pelo próprio hardware: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TF0 e TF1 em 0: Quando o processador inicia a rotina de interrupção localizada no endereço 000BH ou 001BH.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TF0 e TF1 em 1: Quando ocorre overflow do timer 0 ou do timer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Esses flip-flops são configurados pelo próprio programador: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TR0 e TR1 em 0: Desativa o timer 0 ou o timer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TR0 e TR1 em 1: Ativa o timer 0 ou o timer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TMOD (endereço 89H)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33675" cy="742950"/>
            <wp:effectExtent b="0" l="0" r="0" t="0"/>
            <wp:docPr descr="TMOD.PNG" id="3" name="image11.png"/>
            <a:graphic>
              <a:graphicData uri="http://schemas.openxmlformats.org/drawingml/2006/picture">
                <pic:pic>
                  <pic:nvPicPr>
                    <pic:cNvPr descr="TMOD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Gate em 0: O módulo será habilitado se o flip-flop TR1 do registrador TCON for igual a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Gate em 1: O módulo será habilitado se o flip-flop TR1 do registrador TCON for igual a 1 e o pino INT estiver em nível lógico alto </w:t>
      </w:r>
      <w:r w:rsidDel="00000000" w:rsidR="00000000" w:rsidRPr="00000000">
        <w:rPr>
          <w:shd w:fill="ffd966" w:val="clear"/>
          <w:rtl w:val="0"/>
        </w:rPr>
        <w:t xml:space="preserve">(utilizado para medir a largura do pulso de entrada no pino INTx)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C/T em 0: Temporizador.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C/T em 1: Contador.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M1/M0 em 00: Modo 0 – Temporizador/Contador de 13 bits </w:t>
      </w:r>
      <w:r w:rsidDel="00000000" w:rsidR="00000000" w:rsidRPr="00000000">
        <w:rPr>
          <w:shd w:fill="ffd966" w:val="clear"/>
          <w:rtl w:val="0"/>
        </w:rPr>
        <w:t xml:space="preserve">(8 bits de THx e 5 bits menos significativos de TLx)</w:t>
      </w:r>
      <w:r w:rsidDel="00000000" w:rsidR="00000000" w:rsidRPr="00000000">
        <w:rPr>
          <w:rtl w:val="0"/>
        </w:rPr>
        <w:t xml:space="preserve">. THx incrementa apenas quando ocorre um overflow em TLx.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M1/M0 em 01: Modo 1 – Temporizador/Contador de 16 bits (8 bits de TLx e 8 bits de THx).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M1/M0 em 10: Modo 2 – Temporizador/Contador de 8 bits (8 bits de TLx). THx é carregado com um certo valor Y. Quando ocorre um overflow em TLx, o valor Y de THx é carregado em TLx, </w:t>
      </w:r>
      <w:r w:rsidDel="00000000" w:rsidR="00000000" w:rsidRPr="00000000">
        <w:rPr>
          <w:shd w:fill="ffd966" w:val="clear"/>
          <w:rtl w:val="0"/>
        </w:rPr>
        <w:t xml:space="preserve">THx permanece inalterado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M1/M0 em 11: Modo 3 – Timer dividido. </w:t>
      </w:r>
      <w:r w:rsidDel="00000000" w:rsidR="00000000" w:rsidRPr="00000000">
        <w:rPr>
          <w:shd w:fill="ffd966" w:val="clear"/>
          <w:rtl w:val="0"/>
        </w:rPr>
        <w:t xml:space="preserve">Acontece uma independência dos contadores TH0 e TL0  como dois contadores de oito bits que quando sofrem overflow chamam as interrupções 1 e 0, respectivamente. O timer 1 não pode gerar interrupção quando o timer 0 estiver no modo 3, pois o seu TF1 está ocupado pelo overflow do TH0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(não entendi a vantagem desse modo)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SCON (endereço 98H)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1150" cy="1895475"/>
            <wp:effectExtent b="0" l="0" r="0" t="0"/>
            <wp:docPr descr="SCON.PNG" id="9" name="image18.png"/>
            <a:graphic>
              <a:graphicData uri="http://schemas.openxmlformats.org/drawingml/2006/picture">
                <pic:pic>
                  <pic:nvPicPr>
                    <pic:cNvPr descr="SCON.PNG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SM0/SM1 em 00: Modo 0 – 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SM0/SM1 em 01: Modo 1 – 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SM0/SM1 em 10: Modo 2 – 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SM0/SM1 em 11: Modo 3 – 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PCON (endereço ??H)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914400"/>
            <wp:effectExtent b="0" l="0" r="0" t="0"/>
            <wp:docPr descr="PCON.PNG" id="8" name="image17.png"/>
            <a:graphic>
              <a:graphicData uri="http://schemas.openxmlformats.org/drawingml/2006/picture">
                <pic:pic>
                  <pic:nvPicPr>
                    <pic:cNvPr descr="PCON.PNG"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Modelo parcial do EDSIM51: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14925" cy="3943350"/>
            <wp:effectExtent b="0" l="0" r="0" t="0"/>
            <wp:docPr descr="displays.PNG" id="6" name="image15.png"/>
            <a:graphic>
              <a:graphicData uri="http://schemas.openxmlformats.org/drawingml/2006/picture">
                <pic:pic>
                  <pic:nvPicPr>
                    <pic:cNvPr descr="displays.PNG"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Programa em C para printar os valores de 0 a F no display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//biblioteca obrigatória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&lt;reg51.h&gt;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//definida a função que irá converter os dados na porta P1</w:t>
      </w:r>
      <w:r w:rsidDel="00000000" w:rsidR="00000000" w:rsidRPr="00000000">
        <w:rPr>
          <w:shd w:fill="6aa84f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unsigned char converte_7seg (unsigned char);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main (void)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//variável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short i;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//variável 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unsigned char j=0;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//deixa CS=1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P0=0x80;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//creio que não necessariamente precisasse ser FF, porém desse jeito A1=A0=1</w:t>
        <w:br w:type="textWrapping"/>
        <w:t xml:space="preserve">//selecionando o display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P3=0xFF;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 j == 16) j=0;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atraso para Edsim 2.1.15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(i = 0; i &lt; 15000; i++);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//saída pro display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P1=converte_7seg(j);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// função que retorna o valor a ser escrito no display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unsigned char converte_7seg (unsigned char dado)</w:t>
        <w:br w:type="textWrapping"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unsigned char led;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//tabela de conversão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switch (dado)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0: led = 0x40; break;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1: led = 0x79;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2: led = 0x24; break;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3: led = 0x30; break;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4: led = 0x19;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5: led = 0x12; break;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6: led = 0x02;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7: led = 0x78; break;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8: led = 0x00; break;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9: led = 0x10; break;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10: led = 0x08;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11: led = 0x03; break;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12: led = 0x46;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13: led = 0x21; break;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14: led = 0x06; break;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15: led = 0x0E; break;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default: led = 0x80;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led;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8051 tem uma máquina de estados capaz de transmitir serialmente palavras de 8 ou 9 bits independentemente da participação da UC através do protocolo RS232. O modo de funcionamento da interface é programado através do uso dos dois flip flops mais significativos do SCON (SM0 e SM1). As palavras são transmitidas e recebidas através do registrador SBUF.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modo síncrono o byte em SBUF é transmitido através do pino Rx(P3.0) e o clock de sincronismo é transmitido pelo Tx(P3.1). O sinal de sincronismo é sempre enviado pelo dispositivo que está enviando o dado.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modo assíncrono, a transmissão de dados é feita através do pino Tx(P3.1), caso deseje-se transmitir um nono bit (modos 2 e 3), o seu valor será carregado no flip flop TB8 do SCON. Uma transição de um para zero identifica um start bit um stop bit é caracterizado pelo nível lógico 1 durante ao menos o período de transmissão de um bit.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Quando a transmissão for concluída, o flip-flop TI é setado pelo hardware e o programa é desviado para o tratador localizado na posição de memória de código 0023H. O programador deve limpar o flip-flop TI no tratador para permitir uma nova transmissão, analogamente ao RI no caso do recebimento de dados.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que se programe o recebimento de dados, deve-se setar o flip-flop REN em 1, e nesse caso, o tratador de interrupção deve verificar a origem da interrupção (RI=1 - buffer de recepção cheio; TI=1 - buffer de transmissão vazio).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Modo síncrono: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Rx faz a transmissão de dados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Tx supre o clock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é possível receber e transmitir dados simultaneamente (half-duplex)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Modo assíncrono: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Rx faz a transmissão serial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RB8 do SCON recebe o nono bit nos modos 2 e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É possível receber e transmitir dados simultaneamente (full-duplex)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Comunicação Multiprocessadores (Modos 2 e 3):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SM2=1 habilita a comunicação multiprocessadores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acontece a comunicação, se o nono bit recebido for 1, são chamados tratadores de interrupção de recebimento dos 8051 escravos. Os outros bits dessa mesma palavra contêm o endereço do 8051 com que o mestre quer se comunicar. O 8051 que reconhece o seu endereço limpa o seu SM2 e começa a se comunicar através do barramento através de palavras de dados (bit 9 = 0). No fim da comunicação o código deve setar o SM2 do slave.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19625" cy="1638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24425" cy="21431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7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5" Type="http://schemas.openxmlformats.org/officeDocument/2006/relationships/image" Target="media/image13.png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