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Keystone Arc 5M Research Lab + Apex Quantum Nexus</w:t>
      </w:r>
    </w:p>
    <w:p>
      <w:pPr>
        <w:pStyle w:val="Heading2"/>
        <w:pStyle w:val="MdHeading2"/>
      </w:pPr>
      <w:r>
        <w:t xml:space="preserve">Complete senior-developer takeover handoff</w:t>
      </w:r>
    </w:p>
    <w:p>
      <w:pPr>
        <w:pStyle w:val="MdParagraph"/>
      </w:pPr>
      <w:r>
        <w:rPr>
          <w:rStyle w:val="MdStrong"/>
          <w:b/>
          <w:bCs/>
        </w:rPr>
        <w:t xml:space="preserve">Prepared:</w:t>
      </w:r>
      <w:r>
        <w:t xml:space="preserve"> 2026-09-25</w:t>
      </w:r>
      <w:r>
        <w:rPr>
          <w:rStyle w:val="MdBr"/>
        </w:rPr>
        <w:br/>
        <w:t xml:space="preserve"/>
      </w:r>
      <w:r>
        <w:rPr>
          <w:rStyle w:val="MdStrong"/>
          <w:b/>
          <w:bCs/>
        </w:rPr>
        <w:t xml:space="preserve">Purpose:</w:t>
      </w:r>
      <w:r>
        <w:t xml:space="preserve"> Give a new senior NinjaTrader 8 / C# developer enough product, architecture, strategy, UI, lifecycle, reporting, validation, and unresolved-issue context to take over safely.</w:t>
      </w:r>
      <w:r>
        <w:rPr>
          <w:rStyle w:val="MdBr"/>
        </w:rPr>
        <w:br/>
        <w:t xml:space="preserve"/>
      </w:r>
      <w:r>
        <w:rPr>
          <w:rStyle w:val="MdStrong"/>
          <w:b/>
          <w:bCs/>
        </w:rPr>
        <w:t xml:space="preserve">Source of truth:</w:t>
      </w:r>
      <w:r>
        <w:t xml:space="preserve"> </w:t>
      </w:r>
      <w:r>
        <w:rPr>
          <w:rStyle w:val="MdCode"/>
          <w:u w:val="single"/>
        </w:rPr>
        <w:t xml:space="preserve">/home/ubuntu/upload/KeyStone.cs</w:t>
      </w:r>
      <w:r>
        <w:t xml:space="preserve"> (active Keystone source) and </w:t>
      </w:r>
      <w:r>
        <w:rPr>
          <w:rStyle w:val="MdCode"/>
          <w:u w:val="single"/>
        </w:rPr>
        <w:t xml:space="preserve">/home/ubuntu/upload/ApexQuantumNexus.cs</w:t>
      </w:r>
      <w:r>
        <w:t xml:space="preserve"> (separate Nexus reference source).</w:t>
      </w:r>
      <w:r>
        <w:rPr>
          <w:rStyle w:val="MdBr"/>
        </w:rPr>
        <w:br/>
        <w:t xml:space="preserve"/>
      </w:r>
      <w:r>
        <w:rPr>
          <w:rStyle w:val="MdStrong"/>
          <w:b/>
          <w:bCs/>
        </w:rPr>
        <w:t xml:space="preserve">Delivery mirror:</w:t>
      </w:r>
      <w:r>
        <w:t xml:space="preserve"> </w:t>
      </w:r>
      <w:r>
        <w:rPr>
          <w:rStyle w:val="MdCode"/>
          <w:u w:val="single"/>
        </w:rPr>
        <w:t xml:space="preserve">/home/ubuntu/upload/KeystoneArc5MResearchLab.cs</w:t>
      </w:r>
      <w:r>
        <w:t xml:space="preserve">; it must remain byte-identical to </w:t>
      </w:r>
      <w:r>
        <w:rPr>
          <w:rStyle w:val="MdCode"/>
          <w:u w:val="single"/>
        </w:rPr>
        <w:t xml:space="preserve">KeyStone.cs</w:t>
      </w:r>
      <w:r>
        <w:t xml:space="preserve">.</w:t>
      </w:r>
      <w:r>
        <w:rPr>
          <w:rStyle w:val="MdBr"/>
        </w:rPr>
        <w:br/>
        <w:t xml:space="preserve"/>
      </w:r>
      <w:r>
        <w:rPr>
          <w:rStyle w:val="MdStrong"/>
          <w:b/>
          <w:bCs/>
        </w:rPr>
        <w:t xml:space="preserve">Important:</w:t>
      </w:r>
      <w:r>
        <w:t xml:space="preserve"> This document explains the current implementation and its boundaries. It does not replace reading the source. When wording here conflicts with the source, the source wins.</w:t>
      </w:r>
    </w:p>
    <w:p>
      <w:pPr>
        <w:pStyle w:val="MdSpace"/>
        <w:spacing w:before="0" w:after="60"/>
      </w:pPr>
    </w:p>
    <w:p>
      <w:pPr>
        <w:pStyle w:val="MdBlockquote"/>
      </w:pPr>
      <w:r>
        <w:rPr>
          <w:rStyle w:val="MdStrong"/>
          <w:b/>
          <w:bCs/>
        </w:rPr>
        <w:t xml:space="preserve">Current status in one sentence:</w:t>
      </w:r>
      <w:r>
        <w:t xml:space="preserve"> BH is the protected, historical Break-High research path; MNQ has user-reported working history across approximately 2020–2026, MGC range recovery has been isolated but still needs real NinjaTrader receipt proof, and the Asian 75 reversal engine remains unresolved and must not be described as working.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Product map and non-negotiable boundaries</w:t>
      </w:r>
    </w:p>
    <w:p>
      <w:pPr>
        <w:pStyle w:val="Heading3"/>
        <w:pStyle w:val="MdHeading3"/>
      </w:pPr>
      <w:r>
        <w:t xml:space="preserve">1.1 Two different products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Product</w:t>
            </w:r>
          </w:p>
        </w:tc>
        <w:tc>
          <w:tcPr>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Allowed behavior</w:t>
            </w:r>
          </w:p>
        </w:tc>
        <w:tc>
          <w:tcPr>
            <w:tcBorders>
              <w:right w:val="none"/>
            </w:tcBorders>
            <w:tcMar>
              <w:top w:type="dxa" w:w="100"/>
              <w:left w:type="dxa" w:w="120"/>
              <w:bottom w:type="dxa" w:w="100"/>
              <w:right w:type="dxa" w:w="120"/>
            </w:tcMar>
            <w:vAlign w:val="center"/>
          </w:tcPr>
          <w:p>
            <w:pPr>
              <w:pStyle w:val="MdTableHeader"/>
            </w:pPr>
            <w:r>
              <w:t xml:space="preserve">Forbidden behavior in current scope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Apex Quantum Nexus</w:t>
            </w:r>
          </w:p>
        </w:tc>
        <w:tc>
          <w:tcPr>
            <w:tcMar>
              <w:top w:type="dxa" w:w="80"/>
              <w:left w:type="dxa" w:w="120"/>
              <w:bottom w:type="dxa" w:w="80"/>
              <w:right w:type="dxa" w:w="120"/>
            </w:tcMar>
            <w:vAlign w:val="center"/>
          </w:tcPr>
          <w:p>
            <w:pPr>
              <w:pStyle w:val="MdTableCell"/>
            </w:pPr>
            <w:r>
              <w:t xml:space="preserve">Execution-oriented NinjaTrader workspace and historical reference for manual trading, copier concepts, account pools, and automation ideas</w:t>
            </w:r>
          </w:p>
        </w:tc>
        <w:tc>
          <w:tcPr>
            <w:tcMar>
              <w:top w:type="dxa" w:w="80"/>
              <w:left w:type="dxa" w:w="120"/>
              <w:bottom w:type="dxa" w:w="80"/>
              <w:right w:type="dxa" w:w="120"/>
            </w:tcMar>
            <w:vAlign w:val="center"/>
          </w:tcPr>
          <w:p>
            <w:pPr>
              <w:pStyle w:val="MdTableCell"/>
            </w:pPr>
            <w:r>
              <w:t xml:space="preserve">May contain broker/account/order/position/copy concepts because that is its separate product purpose</w:t>
            </w:r>
          </w:p>
        </w:tc>
        <w:tc>
          <w:tcPr>
            <w:tcBorders>
              <w:right w:val="none"/>
            </w:tcBorders>
            <w:tcMar>
              <w:top w:type="dxa" w:w="80"/>
              <w:left w:type="dxa" w:w="120"/>
              <w:bottom w:type="dxa" w:w="80"/>
              <w:right w:type="dxa" w:w="120"/>
            </w:tcMar>
            <w:vAlign w:val="center"/>
          </w:tcPr>
          <w:p>
            <w:pPr>
              <w:pStyle w:val="MdTableCell"/>
            </w:pPr>
            <w:r>
              <w:t xml:space="preserve">Do not use it as a dependency of Keystone and do not modify it during Keystone work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Keystone Arc 5M Research Lab</w:t>
            </w:r>
          </w:p>
        </w:tc>
        <w:tc>
          <w:tcPr>
            <w:tcBorders>
              <w:bottom w:val="single" w:color="E1E4E8" w:sz="4"/>
            </w:tcBorders>
            <w:tcMar>
              <w:top w:type="dxa" w:w="80"/>
              <w:left w:type="dxa" w:w="120"/>
              <w:bottom w:type="dxa" w:w="80"/>
              <w:right w:type="dxa" w:w="120"/>
            </w:tcMar>
            <w:vAlign w:val="center"/>
          </w:tcPr>
          <w:p>
            <w:pPr>
              <w:pStyle w:val="MdTableCell"/>
            </w:pPr>
            <w:r>
              <w:t xml:space="preserve">Standalone historical detector, evidence-chart viewer, virtual account simulator, lifecycle calculator, and HTML/CSV evidence exporter</w:t>
            </w:r>
          </w:p>
        </w:tc>
        <w:tc>
          <w:tcPr>
            <w:tcBorders>
              <w:bottom w:val="single" w:color="E1E4E8" w:sz="4"/>
            </w:tcBorders>
            <w:tcMar>
              <w:top w:type="dxa" w:w="80"/>
              <w:left w:type="dxa" w:w="120"/>
              <w:bottom w:type="dxa" w:w="80"/>
              <w:right w:type="dxa" w:w="120"/>
            </w:tcMar>
            <w:vAlign w:val="center"/>
          </w:tcPr>
          <w:p>
            <w:pPr>
              <w:pStyle w:val="MdTableCell"/>
            </w:pPr>
            <w:r>
              <w:t xml:space="preserve">Read historical NinjaTrader chart/BarsRequest data; detect or backtest historical events; model virtual accounts and costs; render evidence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No live orders, broker account access, copier execution, Apex coupling, FVG/Nexus imports, or live trading APIs</w:t>
            </w:r>
          </w:p>
        </w:tc>
      </w:tr>
    </w:tbl>
    <w:p>
      <w:pPr>
        <w:pStyle w:val="MdParagraph"/>
      </w:pPr>
      <w:r>
        <w:t xml:space="preserve">The user ultimately wants Keystone to become a reusable historical math lab where future strategies can plug into the same data, evidence, account, lifecycle, reporting, and comparison framework. The current active strategy is BH. Asian 75 is a separate strategy integration and must remain isolated.</w:t>
      </w:r>
    </w:p>
    <w:p>
      <w:pPr>
        <w:pStyle w:val="MdSpace"/>
        <w:spacing w:before="0" w:after="60"/>
      </w:pPr>
    </w:p>
    <w:p>
      <w:pPr>
        <w:pStyle w:val="Heading3"/>
        <w:pStyle w:val="MdHeading3"/>
      </w:pPr>
      <w:r>
        <w:t xml:space="preserve">1.2 Protected source files</w:t>
      </w:r>
    </w:p>
    <w:p>
      <w:pPr>
        <w:pStyle w:val="MdListItem"/>
        <w:numPr>
          <w:ilvl w:val="0"/>
          <w:numId w:val="2"/>
        </w:numPr>
      </w:pPr>
      <w:r>
        <w:t xml:space="preserve">Modify only </w:t>
      </w:r>
      <w:r>
        <w:rPr>
          <w:rStyle w:val="MdCode"/>
          <w:u w:val="single"/>
        </w:rPr>
        <w:t xml:space="preserve">/home/ubuntu/upload/KeyStone.cs</w:t>
      </w:r>
      <w:r>
        <w:t xml:space="preserve"> for active Keystone source work.</w:t>
      </w:r>
    </w:p>
    <w:p>
      <w:pPr>
        <w:pStyle w:val="MdListItem"/>
        <w:numPr>
          <w:ilvl w:val="0"/>
          <w:numId w:val="2"/>
        </w:numPr>
      </w:pPr>
      <w:r>
        <w:t xml:space="preserve">After every accepted source edit, copy it byte-for-byte to </w:t>
      </w:r>
      <w:r>
        <w:rPr>
          <w:rStyle w:val="MdCode"/>
          <w:u w:val="single"/>
        </w:rPr>
        <w:t xml:space="preserve">/home/ubuntu/upload/KeystoneArc5MResearchLab.cs</w:t>
      </w:r>
      <w:r>
        <w:t xml:space="preserve"> and verify with </w:t>
      </w:r>
      <w:r>
        <w:rPr>
          <w:rStyle w:val="MdCode"/>
          <w:u w:val="single"/>
        </w:rPr>
        <w:t xml:space="preserve">cmp</w:t>
      </w:r>
      <w:r>
        <w:t xml:space="preserve"> and SHA-256.</w:t>
      </w:r>
    </w:p>
    <w:p>
      <w:pPr>
        <w:pStyle w:val="MdListItem"/>
        <w:numPr>
          <w:ilvl w:val="0"/>
          <w:numId w:val="2"/>
        </w:numPr>
      </w:pPr>
      <w:r>
        <w:t xml:space="preserve">Do not modify:</w:t>
      </w:r>
    </w:p>
    <w:p>
      <w:pPr>
        <w:pStyle w:val="MdListItem"/>
        <w:numPr>
          <w:ilvl w:val="1"/>
          <w:numId w:val="2"/>
        </w:numPr>
      </w:pPr>
      <w:r>
        <w:rPr>
          <w:rStyle w:val="MdCode"/>
          <w:u w:val="single"/>
        </w:rPr>
        <w:t xml:space="preserve">/home/ubuntu/upload/ApexQuantumNexus.cs</w:t>
      </w:r>
    </w:p>
    <w:p>
      <w:pPr>
        <w:pStyle w:val="MdListItem"/>
        <w:numPr>
          <w:ilvl w:val="1"/>
          <w:numId w:val="2"/>
        </w:numPr>
      </w:pPr>
      <w:r>
        <w:rPr>
          <w:rStyle w:val="MdCode"/>
          <w:u w:val="single"/>
        </w:rPr>
        <w:t xml:space="preserve">/home/ubuntu/upload/FvgNexusFullR3.cs</w:t>
      </w:r>
    </w:p>
    <w:p>
      <w:pPr>
        <w:pStyle w:val="MdListItem"/>
        <w:numPr>
          <w:ilvl w:val="1"/>
          <w:numId w:val="2"/>
        </w:numPr>
      </w:pPr>
      <w:r>
        <w:rPr>
          <w:rStyle w:val="MdCode"/>
          <w:u w:val="single"/>
        </w:rPr>
        <w:t xml:space="preserve">/home/ubuntu/upload/Nexus5MSetupValidationIndicator.cs</w:t>
      </w:r>
    </w:p>
    <w:p>
      <w:pPr>
        <w:pStyle w:val="MdListItem"/>
        <w:numPr>
          <w:ilvl w:val="0"/>
          <w:numId w:val="2"/>
        </w:numPr>
      </w:pPr>
      <w:r>
        <w:t xml:space="preserve">Preserved Keystone versions are historical comparators only. Never restore one wholesale without understanding the exact regression it may reintroduce.</w:t>
      </w:r>
    </w:p>
    <w:p>
      <w:pPr>
        <w:pStyle w:val="MdSpace"/>
        <w:spacing w:before="0" w:after="60"/>
      </w:pPr>
    </w:p>
    <w:p>
      <w:pPr>
        <w:pStyle w:val="Heading3"/>
        <w:pStyle w:val="MdHeading3"/>
      </w:pPr>
      <w:r>
        <w:t xml:space="preserve">1.3 Runtime-proof rule</w:t>
      </w:r>
    </w:p>
    <w:p>
      <w:pPr>
        <w:pStyle w:val="MdParagraph"/>
      </w:pPr>
      <w:r>
        <w:t xml:space="preserve">Local compilation and regression tests use NinjaTrader/WPF stubs. They prove syntax, model behavior, isolation, and selected algorithmic invariants. They do </w:t>
      </w:r>
      <w:r>
        <w:rPr>
          <w:rStyle w:val="MdStrong"/>
          <w:b/>
          <w:bCs/>
        </w:rPr>
        <w:t xml:space="preserve">not</w:t>
      </w:r>
      <w:r>
        <w:t xml:space="preserve"> prove:</w:t>
      </w:r>
    </w:p>
    <w:p>
      <w:pPr>
        <w:pStyle w:val="MdSpace"/>
        <w:spacing w:before="0" w:after="60"/>
      </w:pPr>
    </w:p>
    <w:p>
      <w:pPr>
        <w:pStyle w:val="MdListItem"/>
        <w:numPr>
          <w:ilvl w:val="0"/>
          <w:numId w:val="2"/>
        </w:numPr>
      </w:pPr>
      <w:r>
        <w:t xml:space="preserve">that the user’s provider has the requested date range;</w:t>
      </w:r>
    </w:p>
    <w:p>
      <w:pPr>
        <w:pStyle w:val="MdListItem"/>
        <w:numPr>
          <w:ilvl w:val="0"/>
          <w:numId w:val="2"/>
        </w:numPr>
      </w:pPr>
      <w:r>
        <w:t xml:space="preserve">that a real </w:t>
      </w:r>
      <w:r>
        <w:rPr>
          <w:rStyle w:val="MdCode"/>
          <w:u w:val="single"/>
        </w:rPr>
        <w:t xml:space="preserve">BarsRequest</w:t>
      </w:r>
      <w:r>
        <w:t xml:space="preserve"> returns the requested coverage;</w:t>
      </w:r>
    </w:p>
    <w:p>
      <w:pPr>
        <w:pStyle w:val="MdListItem"/>
        <w:numPr>
          <w:ilvl w:val="0"/>
          <w:numId w:val="2"/>
        </w:numPr>
      </w:pPr>
      <w:r>
        <w:t xml:space="preserve">that the chart visual-tree reflection works in the user’s NinjaTrader build;</w:t>
      </w:r>
    </w:p>
    <w:p>
      <w:pPr>
        <w:pStyle w:val="MdListItem"/>
        <w:numPr>
          <w:ilvl w:val="0"/>
          <w:numId w:val="2"/>
        </w:numPr>
      </w:pPr>
      <w:r>
        <w:t xml:space="preserve">that MGC delivery-month recovery returns complete data;</w:t>
      </w:r>
    </w:p>
    <w:p>
      <w:pPr>
        <w:pStyle w:val="MdListItem"/>
        <w:numPr>
          <w:ilvl w:val="0"/>
          <w:numId w:val="2"/>
        </w:numPr>
      </w:pPr>
      <w:r>
        <w:t xml:space="preserve">that WPF scrolling and chart interaction feel correct in the real AddOn;</w:t>
      </w:r>
    </w:p>
    <w:p>
      <w:pPr>
        <w:pStyle w:val="MdListItem"/>
        <w:numPr>
          <w:ilvl w:val="0"/>
          <w:numId w:val="2"/>
        </w:numPr>
      </w:pPr>
      <w:r>
        <w:t xml:space="preserve">that the user’s chart and provider use identical timestamps/session templates.</w:t>
      </w:r>
    </w:p>
    <w:p>
      <w:pPr>
        <w:pStyle w:val="MdSpace"/>
        <w:spacing w:before="0" w:after="60"/>
      </w:pPr>
    </w:p>
    <w:p>
      <w:pPr>
        <w:pStyle w:val="MdParagraph"/>
      </w:pPr>
      <w:r>
        <w:t xml:space="preserve">Never report “all years work” from local tests alone. A runtime receipt must show requested range, resolved instrument, first timestamp, last timestamp, bar count, trading-hours source, and outcome reconciliation state.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Keystone end-to-end workflow</w:t>
      </w:r>
    </w:p>
    <w:p>
      <w:pPr>
        <w:pStyle w:val="MdParagraph"/>
      </w:pPr>
      <w:r>
        <w:t xml:space="preserve">Keystone is a four-stage historical research workflow:</w:t>
      </w:r>
    </w:p>
    <w:p>
      <w:pPr>
        <w:pStyle w:val="MdSpace"/>
        <w:spacing w:before="0" w:after="60"/>
      </w:pPr>
    </w:p>
    <w:p>
      <w:pPr>
        <w:pStyle w:val="MdListItem"/>
        <w:numPr>
          <w:ilvl w:val="0"/>
          <w:numId w:val="3"/>
        </w:numPr>
      </w:pPr>
      <w:r>
        <w:rPr>
          <w:rStyle w:val="MdStrong"/>
          <w:b/>
          <w:bCs/>
        </w:rPr>
        <w:t xml:space="preserve">Configure + Detect</w:t>
      </w:r>
    </w:p>
    <w:p>
      <w:pPr>
        <w:pStyle w:val="MdListItem"/>
        <w:numPr>
          <w:ilvl w:val="1"/>
          <w:numId w:val="2"/>
        </w:numPr>
      </w:pPr>
      <w:r>
        <w:t xml:space="preserve">Select strategy, instrument scope, date mode, setup timeframe where applicable, session, target/stop/risk, and Asian-specific parameters when Asian is selected.</w:t>
      </w:r>
    </w:p>
    <w:p>
      <w:pPr>
        <w:pStyle w:val="MdListItem"/>
        <w:numPr>
          <w:ilvl w:val="1"/>
          <w:numId w:val="2"/>
        </w:numPr>
      </w:pPr>
      <w:r>
        <w:t xml:space="preserve">Confirm the configuration.</w:t>
      </w:r>
    </w:p>
    <w:p>
      <w:pPr>
        <w:pStyle w:val="MdListItem"/>
        <w:numPr>
          <w:ilvl w:val="1"/>
          <w:numId w:val="2"/>
        </w:numPr>
      </w:pPr>
      <w:r>
        <w:t xml:space="preserve">Request historical data from open charts or direct NinjaTrader history.</w:t>
      </w:r>
    </w:p>
    <w:p>
      <w:pPr>
        <w:pStyle w:val="MdListItem"/>
        <w:numPr>
          <w:ilvl w:val="1"/>
          <w:numId w:val="2"/>
        </w:numPr>
      </w:pPr>
      <w:r>
        <w:t xml:space="preserve">BH detects setup events only after data is available and can later reconcile outcomes.</w:t>
      </w:r>
    </w:p>
    <w:p>
      <w:pPr>
        <w:pStyle w:val="MdListItem"/>
        <w:numPr>
          <w:ilvl w:val="1"/>
          <w:numId w:val="2"/>
        </w:numPr>
      </w:pPr>
      <w:r>
        <w:t xml:space="preserve">Asian runs a cycle backtest rather than setup detection.</w:t>
      </w:r>
    </w:p>
    <w:p>
      <w:pPr>
        <w:pStyle w:val="MdListItem"/>
        <w:numPr>
          <w:ilvl w:val="0"/>
          <w:numId w:val="3"/>
        </w:numPr>
      </w:pPr>
      <w:r>
        <w:rPr>
          <w:rStyle w:val="MdStrong"/>
          <w:b/>
          <w:bCs/>
        </w:rPr>
        <w:t xml:space="preserve">Verify Entries</w:t>
      </w:r>
    </w:p>
    <w:p>
      <w:pPr>
        <w:pStyle w:val="MdListItem"/>
        <w:numPr>
          <w:ilvl w:val="1"/>
          <w:numId w:val="2"/>
        </w:numPr>
      </w:pPr>
      <w:r>
        <w:t xml:space="preserve">BH shows the automatically included event ledger, with no acceptance workflow required for ordinary eligible rows.</w:t>
      </w:r>
    </w:p>
    <w:p>
      <w:pPr>
        <w:pStyle w:val="MdListItem"/>
        <w:numPr>
          <w:ilvl w:val="1"/>
          <w:numId w:val="2"/>
        </w:numPr>
      </w:pPr>
      <w:r>
        <w:t xml:space="preserve">Asian shows cycle/reversal-leg ledger and readiness diagnostics.</w:t>
      </w:r>
    </w:p>
    <w:p>
      <w:pPr>
        <w:pStyle w:val="MdListItem"/>
        <w:numPr>
          <w:ilvl w:val="1"/>
          <w:numId w:val="2"/>
        </w:numPr>
      </w:pPr>
      <w:r>
        <w:t xml:space="preserve">This is a read-only review surface. It is not a broker order screen.</w:t>
      </w:r>
    </w:p>
    <w:p>
      <w:pPr>
        <w:pStyle w:val="MdListItem"/>
        <w:numPr>
          <w:ilvl w:val="0"/>
          <w:numId w:val="3"/>
        </w:numPr>
      </w:pPr>
      <w:r>
        <w:rPr>
          <w:rStyle w:val="MdStrong"/>
          <w:b/>
          <w:bCs/>
        </w:rPr>
        <w:t xml:space="preserve">Simulation Results</w:t>
      </w:r>
    </w:p>
    <w:p>
      <w:pPr>
        <w:pStyle w:val="MdListItem"/>
        <w:numPr>
          <w:ilvl w:val="1"/>
          <w:numId w:val="2"/>
        </w:numPr>
      </w:pPr>
      <w:r>
        <w:t xml:space="preserve">Run the virtual pool or account model.</w:t>
      </w:r>
    </w:p>
    <w:p>
      <w:pPr>
        <w:pStyle w:val="MdListItem"/>
        <w:numPr>
          <w:ilvl w:val="1"/>
          <w:numId w:val="2"/>
        </w:numPr>
      </w:pPr>
      <w:r>
        <w:t xml:space="preserve">Inspect pool settings, portfolio cash, pool dashboard, lifecycle walkthrough, first return, performance periods, research findings, and payout cycles.</w:t>
      </w:r>
    </w:p>
    <w:p>
      <w:pPr>
        <w:pStyle w:val="MdListItem"/>
        <w:numPr>
          <w:ilvl w:val="1"/>
          <w:numId w:val="2"/>
        </w:numPr>
      </w:pPr>
      <w:r>
        <w:t xml:space="preserve">One-day studies show allocation and daily locks only; multi-day studies enable lifecycle/payout views.</w:t>
      </w:r>
    </w:p>
    <w:p>
      <w:pPr>
        <w:pStyle w:val="MdListItem"/>
        <w:numPr>
          <w:ilvl w:val="0"/>
          <w:numId w:val="3"/>
        </w:numPr>
      </w:pPr>
      <w:r>
        <w:rPr>
          <w:rStyle w:val="MdStrong"/>
          <w:b/>
          <w:bCs/>
        </w:rPr>
        <w:t xml:space="preserve">Run Archive</w:t>
      </w:r>
    </w:p>
    <w:p>
      <w:pPr>
        <w:pStyle w:val="MdListItem"/>
        <w:numPr>
          <w:ilvl w:val="1"/>
          <w:numId w:val="2"/>
        </w:numPr>
      </w:pPr>
      <w:r>
        <w:t xml:space="preserve">Save snapshot, export CSV, export HTML report, export evidence package, and inspect saved-run records.</w:t>
      </w:r>
    </w:p>
    <w:p>
      <w:pPr>
        <w:pStyle w:val="MdSpace"/>
        <w:spacing w:before="0" w:after="60"/>
      </w:pPr>
    </w:p>
    <w:p>
      <w:pPr>
        <w:pStyle w:val="MdParagraph"/>
      </w:pPr>
      <w:r>
        <w:t xml:space="preserve">The system must not advance from failed or incomplete history to fabricated P/L. Chart evidence may be displayed as “detected but outcome unverified”; target/stop P/L, pool, payout, and lifecycle math must stay blocked until the direct one-minute outcome gate passes.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Source architecture: classes and responsibilities</w:t>
      </w:r>
    </w:p>
    <w:p>
      <w:pPr>
        <w:pStyle w:val="Heading3"/>
        <w:pStyle w:val="MdHeading3"/>
      </w:pPr>
      <w:r>
        <w:t xml:space="preserve">3.1 Data and event models</w:t>
      </w:r>
    </w:p>
    <w:p>
      <w:pPr>
        <w:pStyle w:val="MdListItem"/>
        <w:numPr>
          <w:ilvl w:val="0"/>
          <w:numId w:val="2"/>
        </w:numPr>
      </w:pPr>
      <w:r>
        <w:rPr>
          <w:rStyle w:val="MdCode"/>
          <w:b/>
          <w:bCs/>
          <w:u w:val="single"/>
        </w:rPr>
        <w:t xml:space="preserve">KeystoneArcBar</w:t>
      </w:r>
      <w:r>
        <w:t xml:space="preserve">: normalized OHLC/time bar used by the detector, outcome resolver, evidence renderer, and Asian cycle engine.</w:t>
      </w:r>
    </w:p>
    <w:p>
      <w:pPr>
        <w:pStyle w:val="MdListItem"/>
        <w:numPr>
          <w:ilvl w:val="0"/>
          <w:numId w:val="2"/>
        </w:numPr>
      </w:pPr>
      <w:r>
        <w:rPr>
          <w:rStyle w:val="MdCode"/>
          <w:b/>
          <w:bCs/>
          <w:u w:val="single"/>
        </w:rPr>
        <w:t xml:space="preserve">KeystoneArcEvent</w:t>
      </w:r>
      <w:r>
        <w:t xml:space="preserve">: one detected BH setup, resolved historical outcome, or Asian reversal/cycle event. It carries symbol, setup class, reference/trigger/entry/exit timestamps and prices, direction, target/stop, outcome, P/L, validation/source labels, pool decision, and audit metadata.</w:t>
      </w:r>
    </w:p>
    <w:p>
      <w:pPr>
        <w:pStyle w:val="MdListItem"/>
        <w:numPr>
          <w:ilvl w:val="0"/>
          <w:numId w:val="2"/>
        </w:numPr>
      </w:pPr>
      <w:r>
        <w:rPr>
          <w:rStyle w:val="MdCode"/>
          <w:b/>
          <w:bCs/>
          <w:u w:val="single"/>
        </w:rPr>
        <w:t xml:space="preserve">KeystoneArcComparisonRow</w:t>
      </w:r>
      <w:r>
        <w:t xml:space="preserve">: one comparison scenario for instrument/timeframe/session results.</w:t>
      </w:r>
    </w:p>
    <w:p>
      <w:pPr>
        <w:pStyle w:val="MdListItem"/>
        <w:numPr>
          <w:ilvl w:val="0"/>
          <w:numId w:val="2"/>
        </w:numPr>
      </w:pPr>
      <w:r>
        <w:rPr>
          <w:rStyle w:val="MdCode"/>
          <w:b/>
          <w:bCs/>
          <w:u w:val="single"/>
        </w:rPr>
        <w:t xml:space="preserve">KeystoneArcOptimizationRow</w:t>
      </w:r>
      <w:r>
        <w:t xml:space="preserve">: one target/stop or risk-grid scenario produced by comparison/optimization.</w:t>
      </w:r>
    </w:p>
    <w:p>
      <w:pPr>
        <w:pStyle w:val="MdListItem"/>
        <w:numPr>
          <w:ilvl w:val="0"/>
          <w:numId w:val="2"/>
        </w:numPr>
      </w:pPr>
      <w:r>
        <w:rPr>
          <w:rStyle w:val="MdCode"/>
          <w:b/>
          <w:bCs/>
          <w:u w:val="single"/>
        </w:rPr>
        <w:t xml:space="preserve">KeystoneArcFirstPayoutTiming</w:t>
      </w:r>
      <w:r>
        <w:t xml:space="preserve">: derived timing from lifecycle start to first payout.</w:t>
      </w:r>
    </w:p>
    <w:p>
      <w:pPr>
        <w:pStyle w:val="MdListItem"/>
        <w:numPr>
          <w:ilvl w:val="0"/>
          <w:numId w:val="2"/>
        </w:numPr>
      </w:pPr>
      <w:r>
        <w:rPr>
          <w:rStyle w:val="MdCode"/>
          <w:b/>
          <w:bCs/>
          <w:u w:val="single"/>
        </w:rPr>
        <w:t xml:space="preserve">KeystoneArcFirstReturnRow</w:t>
      </w:r>
      <w:r>
        <w:t xml:space="preserve">: traceable account-level first-payout result.</w:t>
      </w:r>
    </w:p>
    <w:p>
      <w:pPr>
        <w:pStyle w:val="MdListItem"/>
        <w:numPr>
          <w:ilvl w:val="0"/>
          <w:numId w:val="2"/>
        </w:numPr>
      </w:pPr>
      <w:r>
        <w:rPr>
          <w:rStyle w:val="MdCode"/>
          <w:b/>
          <w:bCs/>
          <w:u w:val="single"/>
        </w:rPr>
        <w:t xml:space="preserve">KeystoneArcPayoutCycleRow</w:t>
      </w:r>
      <w:r>
        <w:t xml:space="preserve">: aggregate payout-date cycle, including paid accounts, withdrawal amount, share/cost/net fields and contributors.</w:t>
      </w:r>
    </w:p>
    <w:p>
      <w:pPr>
        <w:pStyle w:val="MdListItem"/>
        <w:numPr>
          <w:ilvl w:val="0"/>
          <w:numId w:val="2"/>
        </w:numPr>
      </w:pPr>
      <w:r>
        <w:rPr>
          <w:rStyle w:val="MdCode"/>
          <w:b/>
          <w:bCs/>
          <w:u w:val="single"/>
        </w:rPr>
        <w:t xml:space="preserve">KeystoneArcBalanceMatrixRow</w:t>
      </w:r>
      <w:r>
        <w:t xml:space="preserve">: account/date balance and stage matrix row.</w:t>
      </w:r>
    </w:p>
    <w:p>
      <w:pPr>
        <w:pStyle w:val="MdListItem"/>
        <w:numPr>
          <w:ilvl w:val="0"/>
          <w:numId w:val="2"/>
        </w:numPr>
      </w:pPr>
      <w:r>
        <w:rPr>
          <w:rStyle w:val="MdCode"/>
          <w:b/>
          <w:bCs/>
          <w:u w:val="single"/>
        </w:rPr>
        <w:t xml:space="preserve">KeystoneArcPayoutAuditDay</w:t>
      </w:r>
      <w:r>
        <w:t xml:space="preserve">: daily payout/cost/state delta used to avoid cumulative-sum double counting.</w:t>
      </w:r>
    </w:p>
    <w:p>
      <w:pPr>
        <w:pStyle w:val="MdListItem"/>
        <w:numPr>
          <w:ilvl w:val="0"/>
          <w:numId w:val="2"/>
        </w:numPr>
      </w:pPr>
      <w:r>
        <w:rPr>
          <w:rStyle w:val="MdCode"/>
          <w:b/>
          <w:bCs/>
          <w:u w:val="single"/>
        </w:rPr>
        <w:t xml:space="preserve">KeystoneArcCapitalPolicySummary</w:t>
      </w:r>
      <w:r>
        <w:rPr>
          <w:rStyle w:val="MdStrong"/>
          <w:b/>
          <w:bCs/>
        </w:rPr>
        <w:t xml:space="preserve"> / </w:t>
      </w:r>
      <w:r>
        <w:rPr>
          <w:rStyle w:val="MdCode"/>
          <w:b/>
          <w:bCs/>
          <w:u w:val="single"/>
        </w:rPr>
        <w:t xml:space="preserve">KeystoneArcCapitalPolicyDay</w:t>
      </w:r>
      <w:r>
        <w:t xml:space="preserve">: initial investment, replacements, bench/gate cash, cost through milestones, and profitability policy outputs.</w:t>
      </w:r>
    </w:p>
    <w:p>
      <w:pPr>
        <w:pStyle w:val="MdListItem"/>
        <w:numPr>
          <w:ilvl w:val="0"/>
          <w:numId w:val="2"/>
        </w:numPr>
      </w:pPr>
      <w:r>
        <w:rPr>
          <w:rStyle w:val="MdCode"/>
          <w:b/>
          <w:bCs/>
          <w:u w:val="single"/>
        </w:rPr>
        <w:t xml:space="preserve">KeystoneArcResearchFinding</w:t>
      </w:r>
      <w:r>
        <w:t xml:space="preserve">: evidence-bounded current-run finding, comparison result, or explicitly unavailable broader comparison.</w:t>
      </w:r>
    </w:p>
    <w:p>
      <w:pPr>
        <w:pStyle w:val="MdListItem"/>
        <w:numPr>
          <w:ilvl w:val="0"/>
          <w:numId w:val="2"/>
        </w:numPr>
      </w:pPr>
      <w:r>
        <w:rPr>
          <w:rStyle w:val="MdCode"/>
          <w:b/>
          <w:bCs/>
          <w:u w:val="single"/>
        </w:rPr>
        <w:t xml:space="preserve">KeystoneArcRiskSequenceStats</w:t>
      </w:r>
      <w:r>
        <w:t xml:space="preserve">: worst run/drawdown style statistics used in research/report output.</w:t>
      </w:r>
    </w:p>
    <w:p>
      <w:pPr>
        <w:pStyle w:val="MdSpace"/>
        <w:spacing w:before="0" w:after="60"/>
      </w:pPr>
    </w:p>
    <w:p>
      <w:pPr>
        <w:pStyle w:val="Heading3"/>
        <w:pStyle w:val="MdHeading3"/>
      </w:pPr>
      <w:r>
        <w:t xml:space="preserve">3.2 Account and configuration models</w:t>
      </w:r>
    </w:p>
    <w:p>
      <w:pPr>
        <w:pStyle w:val="MdListItem"/>
        <w:numPr>
          <w:ilvl w:val="0"/>
          <w:numId w:val="2"/>
        </w:numPr>
      </w:pPr>
      <w:r>
        <w:rPr>
          <w:rStyle w:val="MdCode"/>
          <w:b/>
          <w:bCs/>
          <w:u w:val="single"/>
        </w:rPr>
        <w:t xml:space="preserve">KeystoneArcVirtualAccount</w:t>
      </w:r>
      <w:r>
        <w:t xml:space="preserve"> is the complete virtual slot state. It stores:</w:t>
      </w:r>
    </w:p>
    <w:p>
      <w:pPr>
        <w:pStyle w:val="MdListItem"/>
        <w:numPr>
          <w:ilvl w:val="1"/>
          <w:numId w:val="2"/>
        </w:numPr>
      </w:pPr>
      <w:r>
        <w:t xml:space="preserve">account name, firm code and firm slot;</w:t>
      </w:r>
    </w:p>
    <w:p>
      <w:pPr>
        <w:pStyle w:val="MdListItem"/>
        <w:numPr>
          <w:ilvl w:val="1"/>
          <w:numId w:val="2"/>
        </w:numPr>
      </w:pPr>
      <w:r>
        <w:t xml:space="preserve">evaluation/funded/ready/blown/bench/cap-wait/replacement state;</w:t>
      </w:r>
    </w:p>
    <w:p>
      <w:pPr>
        <w:pStyle w:val="MdListItem"/>
        <w:numPr>
          <w:ilvl w:val="1"/>
          <w:numId w:val="2"/>
        </w:numPr>
      </w:pPr>
      <w:r>
        <w:t xml:space="preserve">initial lifecycle start and terminal dates;</w:t>
      </w:r>
    </w:p>
    <w:p>
      <w:pPr>
        <w:pStyle w:val="MdListItem"/>
        <w:numPr>
          <w:ilvl w:val="1"/>
          <w:numId w:val="2"/>
        </w:numPr>
      </w:pPr>
      <w:r>
        <w:t xml:space="preserve">latest blowout and first/latest payout dates;</w:t>
      </w:r>
    </w:p>
    <w:p>
      <w:pPr>
        <w:pStyle w:val="MdListItem"/>
        <w:numPr>
          <w:ilvl w:val="1"/>
          <w:numId w:val="2"/>
        </w:numPr>
      </w:pPr>
      <w:r>
        <w:t xml:space="preserve">current and historical balances;</w:t>
      </w:r>
    </w:p>
    <w:p>
      <w:pPr>
        <w:pStyle w:val="MdListItem"/>
        <w:numPr>
          <w:ilvl w:val="1"/>
          <w:numId w:val="2"/>
        </w:numPr>
      </w:pPr>
      <w:r>
        <w:t xml:space="preserve">evaluation target/failure/daily rules and funded rules;</w:t>
      </w:r>
    </w:p>
    <w:p>
      <w:pPr>
        <w:pStyle w:val="MdListItem"/>
        <w:numPr>
          <w:ilvl w:val="1"/>
          <w:numId w:val="2"/>
        </w:numPr>
      </w:pPr>
      <w:r>
        <w:t xml:space="preserve">initial and replacement purchase counts/costs;</w:t>
      </w:r>
    </w:p>
    <w:p>
      <w:pPr>
        <w:pStyle w:val="MdListItem"/>
        <w:numPr>
          <w:ilvl w:val="1"/>
          <w:numId w:val="2"/>
        </w:numPr>
      </w:pPr>
      <w:r>
        <w:t xml:space="preserve">payouts and payout history;</w:t>
      </w:r>
    </w:p>
    <w:p>
      <w:pPr>
        <w:pStyle w:val="MdListItem"/>
        <w:numPr>
          <w:ilvl w:val="1"/>
          <w:numId w:val="2"/>
        </w:numPr>
      </w:pPr>
      <w:r>
        <w:t xml:space="preserve">qualifying days and streaks;</w:t>
      </w:r>
    </w:p>
    <w:p>
      <w:pPr>
        <w:pStyle w:val="MdListItem"/>
        <w:numPr>
          <w:ilvl w:val="1"/>
          <w:numId w:val="2"/>
        </w:numPr>
      </w:pPr>
      <w:r>
        <w:t xml:space="preserve">daily audit history and account events;</w:t>
      </w:r>
    </w:p>
    <w:p>
      <w:pPr>
        <w:pStyle w:val="MdListItem"/>
        <w:numPr>
          <w:ilvl w:val="1"/>
          <w:numId w:val="2"/>
        </w:numPr>
      </w:pPr>
      <w:r>
        <w:t xml:space="preserve">milestone totals through first payout and first profitability;</w:t>
      </w:r>
    </w:p>
    <w:p>
      <w:pPr>
        <w:pStyle w:val="MdListItem"/>
        <w:numPr>
          <w:ilvl w:val="1"/>
          <w:numId w:val="2"/>
        </w:numPr>
      </w:pPr>
      <w:r>
        <w:t xml:space="preserve">replacement pending/budget-blocked flags.</w:t>
      </w:r>
    </w:p>
    <w:p>
      <w:pPr>
        <w:pStyle w:val="MdListItem"/>
        <w:numPr>
          <w:ilvl w:val="0"/>
          <w:numId w:val="2"/>
        </w:numPr>
      </w:pPr>
      <w:r>
        <w:rPr>
          <w:rStyle w:val="MdCode"/>
          <w:b/>
          <w:bCs/>
          <w:u w:val="single"/>
        </w:rPr>
        <w:t xml:space="preserve">KeystoneArcAccountDay</w:t>
      </w:r>
      <w:r>
        <w:t xml:space="preserve"> is the per-day audit record. It captures the date, stage, assignments/trades, wins/losses, daily P/L, balance, cost delta, replacement delta, payout delta, pass/failure/bench/blowout signals, and state after close.</w:t>
      </w:r>
    </w:p>
    <w:p>
      <w:pPr>
        <w:pStyle w:val="MdListItem"/>
        <w:numPr>
          <w:ilvl w:val="0"/>
          <w:numId w:val="2"/>
        </w:numPr>
      </w:pPr>
      <w:r>
        <w:rPr>
          <w:rStyle w:val="MdCode"/>
          <w:b/>
          <w:bCs/>
          <w:u w:val="single"/>
        </w:rPr>
        <w:t xml:space="preserve">KeystoneArcRunConfig</w:t>
      </w:r>
      <w:r>
        <w:t xml:space="preserve"> is the serialized scenario configuration. It contains strategy/scope/session/date settings, risk model, BH settings, Asian settings, account path, pool size, copy mode, evaluation/funded rules, replacement policy, firm cap, multi-setup option, and export/report choices. </w:t>
      </w:r>
      <w:r>
        <w:rPr>
          <w:rStyle w:val="MdCode"/>
          <w:u w:val="single"/>
        </w:rPr>
        <w:t xml:space="preserve">Snapshot()</w:t>
      </w:r>
      <w:r>
        <w:t xml:space="preserve"> provides a readable configuration trace.</w:t>
      </w:r>
    </w:p>
    <w:p>
      <w:pPr>
        <w:pStyle w:val="MdSpace"/>
        <w:spacing w:before="0" w:after="60"/>
      </w:pPr>
    </w:p>
    <w:p>
      <w:pPr>
        <w:pStyle w:val="Heading3"/>
        <w:pStyle w:val="MdHeading3"/>
      </w:pPr>
      <w:r>
        <w:t xml:space="preserve">3.3 Shared publication hub</w:t>
      </w:r>
    </w:p>
    <w:p>
      <w:pPr>
        <w:pStyle w:val="MdListItem"/>
        <w:numPr>
          <w:ilvl w:val="0"/>
          <w:numId w:val="2"/>
        </w:numPr>
      </w:pPr>
      <w:r>
        <w:rPr>
          <w:rStyle w:val="MdCode"/>
          <w:b/>
          <w:bCs/>
          <w:u w:val="single"/>
        </w:rPr>
        <w:t xml:space="preserve">KeystoneArcHub</w:t>
      </w:r>
      <w:r>
        <w:t xml:space="preserve"> is a static in-process event publication/snapshot helper for chart-study communication. It is not a broker or live copier. It publishes cloned research events and can snapshot by symbol or five-minute timestamp.</w:t>
      </w:r>
    </w:p>
    <w:p>
      <w:pPr>
        <w:pStyle w:val="MdSpace"/>
        <w:spacing w:before="0" w:after="60"/>
      </w:pPr>
    </w:p>
    <w:p>
      <w:pPr>
        <w:pStyle w:val="Heading3"/>
        <w:pStyle w:val="MdHeading3"/>
      </w:pPr>
      <w:r>
        <w:t xml:space="preserve">3.4 Strategy engine</w:t>
      </w:r>
    </w:p>
    <w:p>
      <w:pPr>
        <w:pStyle w:val="MdListItem"/>
        <w:numPr>
          <w:ilvl w:val="0"/>
          <w:numId w:val="2"/>
        </w:numPr>
      </w:pPr>
      <w:r>
        <w:rPr>
          <w:rStyle w:val="MdCode"/>
          <w:b/>
          <w:bCs/>
          <w:u w:val="single"/>
        </w:rPr>
        <w:t xml:space="preserve">KeystoneArcEngine</w:t>
      </w:r>
      <w:r>
        <w:t xml:space="preserve"> owns normalized setup conversion, BH detection, outcome resolution, Asian cycle backtesting, account simulation, lifecycle aggregation, session grouping, and research calculations.</w:t>
      </w:r>
    </w:p>
    <w:p>
      <w:pPr>
        <w:pStyle w:val="MdListItem"/>
        <w:numPr>
          <w:ilvl w:val="0"/>
          <w:numId w:val="2"/>
        </w:numPr>
      </w:pPr>
      <w:r>
        <w:rPr>
          <w:rStyle w:val="MdCode"/>
          <w:b/>
          <w:bCs/>
          <w:u w:val="single"/>
        </w:rPr>
        <w:t xml:space="preserve">KeystoneArc5MChartStudy</w:t>
      </w:r>
      <w:r>
        <w:t xml:space="preserve"> is a historical indicator/evidence integration surface. It is not a live trading strategy.</w:t>
      </w:r>
    </w:p>
    <w:p>
      <w:pPr>
        <w:pStyle w:val="MdSpace"/>
        <w:spacing w:before="0" w:after="60"/>
      </w:pPr>
    </w:p>
    <w:p>
      <w:pPr>
        <w:pStyle w:val="Heading3"/>
        <w:pStyle w:val="MdHeading3"/>
      </w:pPr>
      <w:r>
        <w:t xml:space="preserve">3.5 AddOn and UI host</w:t>
      </w:r>
    </w:p>
    <w:p>
      <w:pPr>
        <w:pStyle w:val="MdListItem"/>
        <w:numPr>
          <w:ilvl w:val="0"/>
          <w:numId w:val="2"/>
        </w:numPr>
      </w:pPr>
      <w:r>
        <w:rPr>
          <w:rStyle w:val="MdCode"/>
          <w:b/>
          <w:bCs/>
          <w:u w:val="single"/>
        </w:rPr>
        <w:t xml:space="preserve">KeystoneArc5MResearchLab : AddOnBase</w:t>
      </w:r>
      <w:r>
        <w:t xml:space="preserve"> owns the NinjaTrader window, configuration controls, request queues, open-chart discovery, evidence window, result tabs, WPF state, save/export actions, and lifecycle rendering.</w:t>
      </w:r>
    </w:p>
    <w:p>
      <w:pPr>
        <w:pStyle w:val="MdListItem"/>
        <w:numPr>
          <w:ilvl w:val="0"/>
          <w:numId w:val="2"/>
        </w:numPr>
      </w:pPr>
      <w:r>
        <w:t xml:space="preserve">The source uses reflection defensively because chart controls, bars objects, and visual trees can differ across NinjaTrader builds.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BH strategy: exact current rule and data path</w:t>
      </w:r>
    </w:p>
    <w:p>
      <w:pPr>
        <w:pStyle w:val="Heading3"/>
        <w:pStyle w:val="MdHeading3"/>
      </w:pPr>
      <w:r>
        <w:t xml:space="preserve">4.1 Active BH rule</w:t>
      </w:r>
    </w:p>
    <w:p>
      <w:pPr>
        <w:pStyle w:val="MdParagraph"/>
      </w:pPr>
      <w:r>
        <w:t xml:space="preserve">BH means Break-High Long and is intentionally long-only:</w:t>
      </w:r>
    </w:p>
    <w:p>
      <w:pPr>
        <w:pStyle w:val="MdSpace"/>
        <w:spacing w:before="0" w:after="60"/>
      </w:pPr>
    </w:p>
    <w:p>
      <w:pPr>
        <w:pStyle w:val="MdListItem"/>
        <w:numPr>
          <w:ilvl w:val="0"/>
          <w:numId w:val="3"/>
        </w:numPr>
      </w:pPr>
      <w:r>
        <w:t xml:space="preserve">The selected session has begun. Bars before the chosen session start do not count.</w:t>
      </w:r>
    </w:p>
    <w:p>
      <w:pPr>
        <w:pStyle w:val="MdListItem"/>
        <w:numPr>
          <w:ilvl w:val="0"/>
          <w:numId w:val="3"/>
        </w:numPr>
      </w:pPr>
      <w:r>
        <w:t xml:space="preserve">One or more red/bearish candles can occur.</w:t>
      </w:r>
    </w:p>
    <w:p>
      <w:pPr>
        <w:pStyle w:val="MdListItem"/>
        <w:numPr>
          <w:ilvl w:val="0"/>
          <w:numId w:val="3"/>
        </w:numPr>
      </w:pPr>
      <w:r>
        <w:t xml:space="preserve">A bullish candle closes; this becomes the bullish reference candle.</w:t>
      </w:r>
    </w:p>
    <w:p>
      <w:pPr>
        <w:pStyle w:val="MdListItem"/>
        <w:numPr>
          <w:ilvl w:val="0"/>
          <w:numId w:val="3"/>
        </w:numPr>
      </w:pPr>
      <w:r>
        <w:t xml:space="preserve">The immediately following selected-timeframe bar breaks the bullish reference high.</w:t>
      </w:r>
    </w:p>
    <w:p>
      <w:pPr>
        <w:pStyle w:val="MdListItem"/>
        <w:numPr>
          <w:ilvl w:val="0"/>
          <w:numId w:val="3"/>
        </w:numPr>
      </w:pPr>
      <w:r>
        <w:t xml:space="preserve">Entry is modeled exactly at that reference high. The trigger bar does not need to close bullish.</w:t>
      </w:r>
    </w:p>
    <w:p>
      <w:pPr>
        <w:pStyle w:val="MdListItem"/>
        <w:numPr>
          <w:ilvl w:val="0"/>
          <w:numId w:val="3"/>
        </w:numPr>
      </w:pPr>
      <w:r>
        <w:t xml:space="preserve">All detector-qualified base BH setups are included by default.</w:t>
      </w:r>
    </w:p>
    <w:p>
      <w:pPr>
        <w:pStyle w:val="MdSpace"/>
        <w:spacing w:before="0" w:after="60"/>
      </w:pPr>
    </w:p>
    <w:p>
      <w:pPr>
        <w:pStyle w:val="MdParagraph"/>
      </w:pPr>
      <w:r>
        <w:t xml:space="preserve">Do not reintroduce directional controls, FVG coupling, or an “accepted/unreviewed” gate into normal BH behavior. The Verify Entries screen is a ledger review, not a manual approval requirement.</w:t>
      </w:r>
    </w:p>
    <w:p>
      <w:pPr>
        <w:pStyle w:val="MdSpace"/>
        <w:spacing w:before="0" w:after="60"/>
      </w:pPr>
    </w:p>
    <w:p>
      <w:pPr>
        <w:pStyle w:val="MdParagraph"/>
      </w:pPr>
      <w:r>
        <w:t xml:space="preserve">The user’s older discussions mentioned stronger/aggression variants, FVG, sells, and other strategies. Those are historical ideas or separate future work. Do not mix them into the protected current BH path without explicit scope.</w:t>
      </w:r>
    </w:p>
    <w:p>
      <w:pPr>
        <w:pStyle w:val="MdSpace"/>
        <w:spacing w:before="0" w:after="60"/>
      </w:pPr>
    </w:p>
    <w:p>
      <w:pPr>
        <w:pStyle w:val="Heading3"/>
        <w:pStyle w:val="MdHeading3"/>
      </w:pPr>
      <w:r>
        <w:t xml:space="preserve">4.2 Setup timeframe versus outcome timeframe</w:t>
      </w:r>
    </w:p>
    <w:p>
      <w:pPr>
        <w:pStyle w:val="MdListItem"/>
        <w:numPr>
          <w:ilvl w:val="0"/>
          <w:numId w:val="2"/>
        </w:numPr>
      </w:pPr>
      <w:r>
        <w:t xml:space="preserve">Setup timeframe can be 1-minute or 5-minute in the active workflow.</w:t>
      </w:r>
    </w:p>
    <w:p>
      <w:pPr>
        <w:pStyle w:val="MdListItem"/>
        <w:numPr>
          <w:ilvl w:val="0"/>
          <w:numId w:val="2"/>
        </w:numPr>
      </w:pPr>
      <w:r>
        <w:t xml:space="preserve">The direct one-minute OHLC path is the authoritative outcome path.</w:t>
      </w:r>
    </w:p>
    <w:p>
      <w:pPr>
        <w:pStyle w:val="MdListItem"/>
        <w:numPr>
          <w:ilvl w:val="0"/>
          <w:numId w:val="2"/>
        </w:numPr>
      </w:pPr>
      <w:r>
        <w:t xml:space="preserve">For a 5-minute setup, the one-minute bars determine whether target, stop, or session close occurs first.</w:t>
      </w:r>
    </w:p>
    <w:p>
      <w:pPr>
        <w:pStyle w:val="MdListItem"/>
        <w:numPr>
          <w:ilvl w:val="0"/>
          <w:numId w:val="2"/>
        </w:numPr>
      </w:pPr>
      <w:r>
        <w:t xml:space="preserve">If setup bars are derived from one-minute bars, the aggregation must be exact: aligned bucket start, complete constituent one-minute bars, and matching OHLC. Nearest-bar substitution is prohibited.</w:t>
      </w:r>
    </w:p>
    <w:p>
      <w:pPr>
        <w:pStyle w:val="MdListItem"/>
        <w:numPr>
          <w:ilvl w:val="0"/>
          <w:numId w:val="2"/>
        </w:numPr>
      </w:pPr>
      <w:r>
        <w:t xml:space="preserve">If reconciliation fails, setup count/chart evidence may remain visible, but outcome/P&amp;L/pool/payout/lifecycle must be marked unverified and blocked.</w:t>
      </w:r>
    </w:p>
    <w:p>
      <w:pPr>
        <w:pStyle w:val="MdSpace"/>
        <w:spacing w:before="0" w:after="60"/>
      </w:pPr>
    </w:p>
    <w:p>
      <w:pPr>
        <w:pStyle w:val="Heading3"/>
        <w:pStyle w:val="MdHeading3"/>
      </w:pPr>
      <w:r>
        <w:t xml:space="preserve">4.3 BH outcome model</w:t>
      </w:r>
    </w:p>
    <w:p>
      <w:pPr>
        <w:pStyle w:val="MdParagraph"/>
      </w:pPr>
      <w:r>
        <w:t xml:space="preserve">The event stores entry, target, stop, outcome, exit time, exit price, P/L and source metadata. The resolver examines direct one-minute bars after the entry and applies the configured target/stop/session-close rules. A bar that touches both target and stop without intrabar order certainty must follow the existing conservative resolution policy; do not silently invent an order of hits.</w:t>
      </w:r>
    </w:p>
    <w:p>
      <w:pPr>
        <w:pStyle w:val="MdSpace"/>
        <w:spacing w:before="0" w:after="60"/>
      </w:pPr>
    </w:p>
    <w:p>
      <w:pPr>
        <w:pStyle w:val="MdParagraph"/>
      </w:pPr>
      <w:r>
        <w:t xml:space="preserve">The selected prop defaults are intended to be:</w:t>
      </w:r>
    </w:p>
    <w:p>
      <w:pPr>
        <w:pStyle w:val="MdSpace"/>
        <w:spacing w:before="0" w:after="60"/>
      </w:pPr>
    </w:p>
    <w:p>
      <w:pPr>
        <w:pStyle w:val="MdListItem"/>
        <w:numPr>
          <w:ilvl w:val="0"/>
          <w:numId w:val="2"/>
        </w:numPr>
      </w:pPr>
      <w:r>
        <w:t xml:space="preserve">daily profit lock: </w:t>
      </w:r>
      <w:r>
        <w:rPr>
          <w:rStyle w:val="MdCode"/>
          <w:u w:val="single"/>
        </w:rPr>
        <w:t xml:space="preserve">$1,500</w:t>
      </w:r>
      <w:r>
        <w:t xml:space="preserve">;</w:t>
      </w:r>
    </w:p>
    <w:p>
      <w:pPr>
        <w:pStyle w:val="MdListItem"/>
        <w:numPr>
          <w:ilvl w:val="0"/>
          <w:numId w:val="2"/>
        </w:numPr>
      </w:pPr>
      <w:r>
        <w:t xml:space="preserve">daily loss lock: </w:t>
      </w:r>
      <w:r>
        <w:rPr>
          <w:rStyle w:val="MdCode"/>
          <w:u w:val="single"/>
        </w:rPr>
        <w:t xml:space="preserve">$500</w:t>
      </w:r>
      <w:r>
        <w:t xml:space="preserve">;</w:t>
      </w:r>
    </w:p>
    <w:p>
      <w:pPr>
        <w:pStyle w:val="MdListItem"/>
        <w:numPr>
          <w:ilvl w:val="0"/>
          <w:numId w:val="2"/>
        </w:numPr>
      </w:pPr>
      <w:r>
        <w:t xml:space="preserve">target per trade: </w:t>
      </w:r>
      <w:r>
        <w:rPr>
          <w:rStyle w:val="MdCode"/>
          <w:u w:val="single"/>
        </w:rPr>
        <w:t xml:space="preserve">$1,500</w:t>
      </w:r>
      <w:r>
        <w:t xml:space="preserve">;</w:t>
      </w:r>
    </w:p>
    <w:p>
      <w:pPr>
        <w:pStyle w:val="MdListItem"/>
        <w:numPr>
          <w:ilvl w:val="0"/>
          <w:numId w:val="2"/>
        </w:numPr>
      </w:pPr>
      <w:r>
        <w:t xml:space="preserve">maximum risk per trade: </w:t>
      </w:r>
      <w:r>
        <w:rPr>
          <w:rStyle w:val="MdCode"/>
          <w:u w:val="single"/>
        </w:rPr>
        <w:t xml:space="preserve">$500</w:t>
      </w:r>
      <w:r>
        <w:t xml:space="preserve">;</w:t>
      </w:r>
    </w:p>
    <w:p>
      <w:pPr>
        <w:pStyle w:val="MdListItem"/>
        <w:numPr>
          <w:ilvl w:val="0"/>
          <w:numId w:val="2"/>
        </w:numPr>
      </w:pPr>
      <w:r>
        <w:t xml:space="preserve">prop micro quantity and stop model from Step 1.</w:t>
      </w:r>
    </w:p>
    <w:p>
      <w:pPr>
        <w:pStyle w:val="MdSpace"/>
        <w:spacing w:before="0" w:after="60"/>
      </w:pPr>
    </w:p>
    <w:p>
      <w:pPr>
        <w:pStyle w:val="MdParagraph"/>
      </w:pPr>
      <w:r>
        <w:t xml:space="preserve">Account P/L is assignment math and must not be confused with raw setup outcome totals.</w:t>
      </w:r>
    </w:p>
    <w:p>
      <w:pPr>
        <w:pStyle w:val="MdSpace"/>
        <w:spacing w:before="0" w:after="60"/>
      </w:pPr>
    </w:p>
    <w:p>
      <w:pPr>
        <w:pStyle w:val="Heading3"/>
        <w:pStyle w:val="MdHeading3"/>
      </w:pPr>
      <w:r>
        <w:t xml:space="preserve">4.4 BH loading protection</w:t>
      </w:r>
    </w:p>
    <w:p>
      <w:pPr>
        <w:pStyle w:val="MdParagraph"/>
      </w:pPr>
      <w:r>
        <w:t xml:space="preserve">The user reports MNQ BH history works across approximately 2020–2026. Preserve the BH request path. Asian work must not change:</w:t>
      </w:r>
    </w:p>
    <w:p>
      <w:pPr>
        <w:pStyle w:val="MdSpace"/>
        <w:spacing w:before="0" w:after="60"/>
      </w:pPr>
    </w:p>
    <w:p>
      <w:pPr>
        <w:pStyle w:val="MdListItem"/>
        <w:numPr>
          <w:ilvl w:val="0"/>
          <w:numId w:val="2"/>
        </w:numPr>
      </w:pPr>
      <w:r>
        <w:t xml:space="preserve">BH resolver anchoring;</w:t>
      </w:r>
    </w:p>
    <w:p>
      <w:pPr>
        <w:pStyle w:val="MdListItem"/>
        <w:numPr>
          <w:ilvl w:val="0"/>
          <w:numId w:val="2"/>
        </w:numPr>
      </w:pPr>
      <w:r>
        <w:rPr>
          <w:rStyle w:val="MdCode"/>
          <w:u w:val="single"/>
        </w:rPr>
        <w:t xml:space="preserve">BeginInstrumentRequest</w:t>
      </w:r>
      <w:r>
        <w:t xml:space="preserve"> BH behavior;</w:t>
      </w:r>
    </w:p>
    <w:p>
      <w:pPr>
        <w:pStyle w:val="MdListItem"/>
        <w:numPr>
          <w:ilvl w:val="0"/>
          <w:numId w:val="2"/>
        </w:numPr>
      </w:pPr>
      <w:r>
        <w:t xml:space="preserve">open-chart exact-copy preference;</w:t>
      </w:r>
    </w:p>
    <w:p>
      <w:pPr>
        <w:pStyle w:val="MdListItem"/>
        <w:numPr>
          <w:ilvl w:val="0"/>
          <w:numId w:val="2"/>
        </w:numPr>
      </w:pPr>
      <w:r>
        <w:t xml:space="preserve">direct one-minute outcome request;</w:t>
      </w:r>
    </w:p>
    <w:p>
      <w:pPr>
        <w:pStyle w:val="MdListItem"/>
        <w:numPr>
          <w:ilvl w:val="0"/>
          <w:numId w:val="2"/>
        </w:numPr>
      </w:pPr>
      <w:r>
        <w:t xml:space="preserve">Full Globex boundary logic;</w:t>
      </w:r>
    </w:p>
    <w:p>
      <w:pPr>
        <w:pStyle w:val="MdListItem"/>
        <w:numPr>
          <w:ilvl w:val="0"/>
          <w:numId w:val="2"/>
        </w:numPr>
      </w:pPr>
      <w:r>
        <w:t xml:space="preserve">BH date/session grouping;</w:t>
      </w:r>
    </w:p>
    <w:p>
      <w:pPr>
        <w:pStyle w:val="MdListItem"/>
        <w:numPr>
          <w:ilvl w:val="0"/>
          <w:numId w:val="2"/>
        </w:numPr>
      </w:pPr>
      <w:r>
        <w:t xml:space="preserve">stale-result clearing.</w:t>
      </w:r>
    </w:p>
    <w:p>
      <w:pPr>
        <w:pStyle w:val="MdSpace"/>
        <w:spacing w:before="0" w:after="60"/>
      </w:pPr>
    </w:p>
    <w:p>
      <w:pPr>
        <w:pStyle w:val="MdParagraph"/>
      </w:pPr>
      <w:r>
        <w:t xml:space="preserve">Any loader modification must be isolated, minimal, regression-tested, and runtime-proven with a receipt.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Asian 75 reversal strategy: intended rules and unresolved state</w:t>
      </w:r>
    </w:p>
    <w:p>
      <w:pPr>
        <w:pStyle w:val="Heading3"/>
        <w:pStyle w:val="MdHeading3"/>
      </w:pPr>
      <w:r>
        <w:t xml:space="preserve">5.1 Intended backtest, not setup detector</w:t>
      </w:r>
    </w:p>
    <w:p>
      <w:pPr>
        <w:pStyle w:val="MdParagraph"/>
      </w:pPr>
      <w:r>
        <w:t xml:space="preserve">Asian 75 does </w:t>
      </w:r>
      <w:r>
        <w:rPr>
          <w:rStyle w:val="MdStrong"/>
          <w:b/>
          <w:bCs/>
        </w:rPr>
        <w:t xml:space="preserve">not</w:t>
      </w:r>
      <w:r>
        <w:t xml:space="preserve"> look for BH-style setups. It begins a cycle at the configured time, usually 18:00 ET, using direct one-minute bars. The current intended flow is:</w:t>
      </w:r>
    </w:p>
    <w:p>
      <w:pPr>
        <w:pStyle w:val="MdSpace"/>
        <w:spacing w:before="0" w:after="60"/>
      </w:pPr>
    </w:p>
    <w:p>
      <w:pPr>
        <w:pStyle w:val="MdListItem"/>
        <w:numPr>
          <w:ilvl w:val="0"/>
          <w:numId w:val="3"/>
        </w:numPr>
      </w:pPr>
      <w:r>
        <w:t xml:space="preserve">Select MNQ, MGC, or BOTH.</w:t>
      </w:r>
    </w:p>
    <w:p>
      <w:pPr>
        <w:pStyle w:val="MdListItem"/>
        <w:numPr>
          <w:ilvl w:val="0"/>
          <w:numId w:val="3"/>
        </w:numPr>
      </w:pPr>
      <w:r>
        <w:t xml:space="preserve">At the exact configured start minute, enter the selected instruments simultaneously in the configured initial direction, normally LONG/LONG.</w:t>
      </w:r>
    </w:p>
    <w:p>
      <w:pPr>
        <w:pStyle w:val="MdListItem"/>
        <w:numPr>
          <w:ilvl w:val="0"/>
          <w:numId w:val="3"/>
        </w:numPr>
      </w:pPr>
      <w:r>
        <w:t xml:space="preserve">Start with the configured initial micro quantity, normally one contract per instrument.</w:t>
      </w:r>
    </w:p>
    <w:p>
      <w:pPr>
        <w:pStyle w:val="MdListItem"/>
        <w:numPr>
          <w:ilvl w:val="0"/>
          <w:numId w:val="3"/>
        </w:numPr>
      </w:pPr>
      <w:r>
        <w:t xml:space="preserve">When an instrument reaches its fixed cash loss per leg, close that leg at the modeled stop and reverse on the next minute, adding one contract.</w:t>
      </w:r>
    </w:p>
    <w:p>
      <w:pPr>
        <w:pStyle w:val="MdListItem"/>
        <w:numPr>
          <w:ilvl w:val="0"/>
          <w:numId w:val="3"/>
        </w:numPr>
      </w:pPr>
      <w:r>
        <w:t xml:space="preserve">Continue until the combined daily profit target is reached, the combined reversal-loss ceiling is reached, maximum reversal legs per instrument is reached, or the configured end time/session close is reached.</w:t>
      </w:r>
    </w:p>
    <w:p>
      <w:pPr>
        <w:pStyle w:val="MdListItem"/>
        <w:numPr>
          <w:ilvl w:val="0"/>
          <w:numId w:val="3"/>
        </w:numPr>
      </w:pPr>
      <w:r>
        <w:t xml:space="preserve">Record initial entry, every reversal leg, quantity, direction, time, stop trigger, exit, per-instrument P/L, combined P/L, and cycle close reason.</w:t>
      </w:r>
    </w:p>
    <w:p>
      <w:pPr>
        <w:pStyle w:val="MdListItem"/>
        <w:numPr>
          <w:ilvl w:val="0"/>
          <w:numId w:val="3"/>
        </w:numPr>
      </w:pPr>
      <w:r>
        <w:t xml:space="preserve">The resulting daily cycle is then eligible for the copy-account lifecycle model rather than BH setup rotation.</w:t>
      </w:r>
    </w:p>
    <w:p>
      <w:pPr>
        <w:pStyle w:val="MdSpace"/>
        <w:spacing w:before="0" w:after="60"/>
      </w:pPr>
    </w:p>
    <w:p>
      <w:pPr>
        <w:pStyle w:val="MdParagraph"/>
      </w:pPr>
      <w:r>
        <w:t xml:space="preserve">The user’s usual parameters are approximately </w:t>
      </w:r>
      <w:r>
        <w:rPr>
          <w:rStyle w:val="MdCode"/>
          <w:u w:val="single"/>
        </w:rPr>
        <w:t xml:space="preserve">$75</w:t>
      </w:r>
      <w:r>
        <w:t xml:space="preserve"> fixed loss per leg, </w:t>
      </w:r>
      <w:r>
        <w:rPr>
          <w:rStyle w:val="MdCode"/>
          <w:u w:val="single"/>
        </w:rPr>
        <w:t xml:space="preserve">$350</w:t>
      </w:r>
      <w:r>
        <w:t xml:space="preserve"> combined target, up to 3–4 reversal legs per instrument, and an automatic combined loss ceiling derived from legs × fixed loss × selected instruments. The UI also exposes breakeven and price-move variants.</w:t>
      </w:r>
    </w:p>
    <w:p>
      <w:pPr>
        <w:pStyle w:val="MdSpace"/>
        <w:spacing w:before="0" w:after="60"/>
      </w:pPr>
    </w:p>
    <w:p>
      <w:pPr>
        <w:pStyle w:val="Heading3"/>
        <w:pStyle w:val="MdHeading3"/>
      </w:pPr>
      <w:r>
        <w:t xml:space="preserve">5.2 Current Asian implementation areas</w:t>
      </w:r>
    </w:p>
    <w:p>
      <w:pPr>
        <w:pStyle w:val="MdParagraph"/>
      </w:pPr>
      <w:r>
        <w:t xml:space="preserve">Relevant engine responsibilities include:</w:t>
      </w:r>
    </w:p>
    <w:p>
      <w:pPr>
        <w:pStyle w:val="MdSpace"/>
        <w:spacing w:before="0" w:after="60"/>
      </w:pPr>
    </w:p>
    <w:p>
      <w:pPr>
        <w:pStyle w:val="MdListItem"/>
        <w:numPr>
          <w:ilvl w:val="0"/>
          <w:numId w:val="2"/>
        </w:numPr>
      </w:pPr>
      <w:r>
        <w:rPr>
          <w:rStyle w:val="MdCode"/>
          <w:u w:val="single"/>
        </w:rPr>
        <w:t xml:space="preserve">Asian75Position</w:t>
      </w:r>
      <w:r>
        <w:t xml:space="preserve">: mutable per-instrument position state;</w:t>
      </w:r>
    </w:p>
    <w:p>
      <w:pPr>
        <w:pStyle w:val="MdListItem"/>
        <w:numPr>
          <w:ilvl w:val="0"/>
          <w:numId w:val="2"/>
        </w:numPr>
      </w:pPr>
      <w:r>
        <w:rPr>
          <w:rStyle w:val="MdCode"/>
          <w:u w:val="single"/>
        </w:rPr>
        <w:t xml:space="preserve">DetectAsian75Reversal</w:t>
      </w:r>
      <w:r>
        <w:t xml:space="preserve">: cycle engine;</w:t>
      </w:r>
    </w:p>
    <w:p>
      <w:pPr>
        <w:pStyle w:val="MdListItem"/>
        <w:numPr>
          <w:ilvl w:val="0"/>
          <w:numId w:val="2"/>
        </w:numPr>
      </w:pPr>
      <w:r>
        <w:rPr>
          <w:rStyle w:val="MdCode"/>
          <w:u w:val="single"/>
        </w:rPr>
        <w:t xml:space="preserve">AsianCycleReadinessReceipt</w:t>
      </w:r>
      <w:r>
        <w:t xml:space="preserve">: checks exact opening data and selected scope;</w:t>
      </w:r>
    </w:p>
    <w:p>
      <w:pPr>
        <w:pStyle w:val="MdListItem"/>
        <w:numPr>
          <w:ilvl w:val="0"/>
          <w:numId w:val="2"/>
        </w:numPr>
      </w:pPr>
      <w:r>
        <w:rPr>
          <w:rStyle w:val="MdCode"/>
          <w:u w:val="single"/>
        </w:rPr>
        <w:t xml:space="preserve">AsianDateAtHhmm</w:t>
      </w:r>
      <w:r>
        <w:t xml:space="preserve">: converts selected date/time to the cycle timestamp;</w:t>
      </w:r>
    </w:p>
    <w:p>
      <w:pPr>
        <w:pStyle w:val="MdListItem"/>
        <w:numPr>
          <w:ilvl w:val="0"/>
          <w:numId w:val="2"/>
        </w:numPr>
      </w:pPr>
      <w:r>
        <w:rPr>
          <w:rStyle w:val="MdCode"/>
          <w:u w:val="single"/>
        </w:rPr>
        <w:t xml:space="preserve">AsianInitialDirection</w:t>
      </w:r>
      <w:r>
        <w:t xml:space="preserve">, </w:t>
      </w:r>
      <w:r>
        <w:rPr>
          <w:rStyle w:val="MdCode"/>
          <w:u w:val="single"/>
        </w:rPr>
        <w:t xml:space="preserve">AsianUsesPriceRisk</w:t>
      </w:r>
      <w:r>
        <w:t xml:space="preserve">, </w:t>
      </w:r>
      <w:r>
        <w:rPr>
          <w:rStyle w:val="MdCode"/>
          <w:u w:val="single"/>
        </w:rPr>
        <w:t xml:space="preserve">AsianPriceLossMove</w:t>
      </w:r>
      <w:r>
        <w:t xml:space="preserve">;</w:t>
      </w:r>
    </w:p>
    <w:p>
      <w:pPr>
        <w:pStyle w:val="MdListItem"/>
        <w:numPr>
          <w:ilvl w:val="0"/>
          <w:numId w:val="2"/>
        </w:numPr>
      </w:pPr>
      <w:r>
        <w:rPr>
          <w:rStyle w:val="MdCode"/>
          <w:u w:val="single"/>
        </w:rPr>
        <w:t xml:space="preserve">Asian75LegLoss</w:t>
      </w:r>
      <w:r>
        <w:t xml:space="preserve">, </w:t>
      </w:r>
      <w:r>
        <w:rPr>
          <w:rStyle w:val="MdCode"/>
          <w:u w:val="single"/>
        </w:rPr>
        <w:t xml:space="preserve">AsianRiskDescription</w:t>
      </w:r>
      <w:r>
        <w:t xml:space="preserve">, </w:t>
      </w:r>
      <w:r>
        <w:rPr>
          <w:rStyle w:val="MdCode"/>
          <w:u w:val="single"/>
        </w:rPr>
        <w:t xml:space="preserve">AsianMaxReversalsForSymbol</w:t>
      </w:r>
      <w:r>
        <w:t xml:space="preserve">;</w:t>
      </w:r>
    </w:p>
    <w:p>
      <w:pPr>
        <w:pStyle w:val="MdListItem"/>
        <w:numPr>
          <w:ilvl w:val="0"/>
          <w:numId w:val="2"/>
        </w:numPr>
      </w:pPr>
      <w:r>
        <w:rPr>
          <w:rStyle w:val="MdCode"/>
          <w:u w:val="single"/>
        </w:rPr>
        <w:t xml:space="preserve">AsianInstrumentCapForSymbol</w:t>
      </w:r>
      <w:r>
        <w:t xml:space="preserve">, </w:t>
      </w:r>
      <w:r>
        <w:rPr>
          <w:rStyle w:val="MdCode"/>
          <w:u w:val="single"/>
        </w:rPr>
        <w:t xml:space="preserve">Asian75StopPrice</w:t>
      </w:r>
      <w:r>
        <w:t xml:space="preserve">, </w:t>
      </w:r>
      <w:r>
        <w:rPr>
          <w:rStyle w:val="MdCode"/>
          <w:u w:val="single"/>
        </w:rPr>
        <w:t xml:space="preserve">Asian75OpenPnl</w:t>
      </w:r>
      <w:r>
        <w:t xml:space="preserve">;</w:t>
      </w:r>
    </w:p>
    <w:p>
      <w:pPr>
        <w:pStyle w:val="MdListItem"/>
        <w:numPr>
          <w:ilvl w:val="0"/>
          <w:numId w:val="2"/>
        </w:numPr>
      </w:pPr>
      <w:r>
        <w:rPr>
          <w:rStyle w:val="MdCode"/>
          <w:u w:val="single"/>
        </w:rPr>
        <w:t xml:space="preserve">CloseAsian75Positions</w:t>
      </w:r>
      <w:r>
        <w:t xml:space="preserve">, </w:t>
      </w:r>
      <w:r>
        <w:rPr>
          <w:rStyle w:val="MdCode"/>
          <w:u w:val="single"/>
        </w:rPr>
        <w:t xml:space="preserve">NewAsian75Event</w:t>
      </w:r>
      <w:r>
        <w:t xml:space="preserve">;</w:t>
      </w:r>
    </w:p>
    <w:p>
      <w:pPr>
        <w:pStyle w:val="MdListItem"/>
        <w:numPr>
          <w:ilvl w:val="0"/>
          <w:numId w:val="2"/>
        </w:numPr>
      </w:pPr>
      <w:r>
        <w:rPr>
          <w:rStyle w:val="MdCode"/>
          <w:u w:val="single"/>
        </w:rPr>
        <w:t xml:space="preserve">SimulateAsian75CopyPool</w:t>
      </w:r>
      <w:r>
        <w:t xml:space="preserve">: sends the completed cycle result to every active virtual copy account.</w:t>
      </w:r>
    </w:p>
    <w:p>
      <w:pPr>
        <w:pStyle w:val="MdSpace"/>
        <w:spacing w:before="0" w:after="60"/>
      </w:pPr>
    </w:p>
    <w:p>
      <w:pPr>
        <w:pStyle w:val="Heading3"/>
        <w:pStyle w:val="MdHeading3"/>
      </w:pPr>
      <w:r>
        <w:t xml:space="preserve">5.3 Why Asian remains unresolved</w:t>
      </w:r>
    </w:p>
    <w:p>
      <w:pPr>
        <w:pStyle w:val="MdParagraph"/>
      </w:pPr>
      <w:r>
        <w:t xml:space="preserve">The implementation has diagnostics, exact-start checks, one-minute requests, synchronized selected-instrument handling, zero-cycle reporting, and regression coverage for model-level behavior. Nevertheless, it has not been proven in the user’s real NinjaTrader runtime. The user has repeatedly received zero cycle legs even though one-minute data appeared to load.</w:t>
      </w:r>
    </w:p>
    <w:p>
      <w:pPr>
        <w:pStyle w:val="MdSpace"/>
        <w:spacing w:before="0" w:after="60"/>
      </w:pPr>
    </w:p>
    <w:p>
      <w:pPr>
        <w:pStyle w:val="MdParagraph"/>
      </w:pPr>
      <w:r>
        <w:t xml:space="preserve">The unresolved possibilities include, and must be tested rather than guessed:</w:t>
      </w:r>
    </w:p>
    <w:p>
      <w:pPr>
        <w:pStyle w:val="MdSpace"/>
        <w:spacing w:before="0" w:after="60"/>
      </w:pPr>
    </w:p>
    <w:p>
      <w:pPr>
        <w:pStyle w:val="MdListItem"/>
        <w:numPr>
          <w:ilvl w:val="0"/>
          <w:numId w:val="2"/>
        </w:numPr>
      </w:pPr>
      <w:r>
        <w:t xml:space="preserve">exact start-minute timestamp differs from the provider/chart timestamp convention;</w:t>
      </w:r>
    </w:p>
    <w:p>
      <w:pPr>
        <w:pStyle w:val="MdListItem"/>
        <w:numPr>
          <w:ilvl w:val="0"/>
          <w:numId w:val="2"/>
        </w:numPr>
      </w:pPr>
      <w:r>
        <w:t xml:space="preserve">the selected session date maps to the wrong overnight calendar date;</w:t>
      </w:r>
    </w:p>
    <w:p>
      <w:pPr>
        <w:pStyle w:val="MdListItem"/>
        <w:numPr>
          <w:ilvl w:val="0"/>
          <w:numId w:val="2"/>
        </w:numPr>
      </w:pPr>
      <w:r>
        <w:t xml:space="preserve">the first bar is missing or is filtered by the session window;</w:t>
      </w:r>
    </w:p>
    <w:p>
      <w:pPr>
        <w:pStyle w:val="MdListItem"/>
        <w:numPr>
          <w:ilvl w:val="0"/>
          <w:numId w:val="2"/>
        </w:numPr>
      </w:pPr>
      <w:r>
        <w:t xml:space="preserve">BOTH scope requires simultaneous opening bars but one instrument has a different first usable timestamp;</w:t>
      </w:r>
    </w:p>
    <w:p>
      <w:pPr>
        <w:pStyle w:val="MdListItem"/>
        <w:numPr>
          <w:ilvl w:val="0"/>
          <w:numId w:val="2"/>
        </w:numPr>
      </w:pPr>
      <w:r>
        <w:t xml:space="preserve">direct one-minute receipt coverage exists but does not include the exact configured start/end boundaries;</w:t>
      </w:r>
    </w:p>
    <w:p>
      <w:pPr>
        <w:pStyle w:val="MdListItem"/>
        <w:numPr>
          <w:ilvl w:val="0"/>
          <w:numId w:val="2"/>
        </w:numPr>
      </w:pPr>
      <w:r>
        <w:t xml:space="preserve">instrument-specific price-value conversion or reversal threshold is not reached as expected;</w:t>
      </w:r>
    </w:p>
    <w:p>
      <w:pPr>
        <w:pStyle w:val="MdListItem"/>
        <w:numPr>
          <w:ilvl w:val="0"/>
          <w:numId w:val="2"/>
        </w:numPr>
      </w:pPr>
      <w:r>
        <w:t xml:space="preserve">a cycle completes immediately at a boundary but is not rendered as a leg;</w:t>
      </w:r>
    </w:p>
    <w:p>
      <w:pPr>
        <w:pStyle w:val="MdListItem"/>
        <w:numPr>
          <w:ilvl w:val="0"/>
          <w:numId w:val="2"/>
        </w:numPr>
      </w:pPr>
      <w:r>
        <w:t xml:space="preserve">the UI status says “working” or “outcomes verified” while the event list remains empty;</w:t>
      </w:r>
    </w:p>
    <w:p>
      <w:pPr>
        <w:pStyle w:val="MdListItem"/>
        <w:numPr>
          <w:ilvl w:val="0"/>
          <w:numId w:val="2"/>
        </w:numPr>
      </w:pPr>
      <w:r>
        <w:t xml:space="preserve">copy-pool handoff receives no completed cycle event.</w:t>
      </w:r>
    </w:p>
    <w:p>
      <w:pPr>
        <w:pStyle w:val="MdSpace"/>
        <w:spacing w:before="0" w:after="60"/>
      </w:pPr>
    </w:p>
    <w:p>
      <w:pPr>
        <w:pStyle w:val="MdParagraph"/>
      </w:pPr>
      <w:r>
        <w:t xml:space="preserve">The correct next step is a narrow diagnostic runtime test, not another loader rewrite:</w:t>
      </w:r>
    </w:p>
    <w:p>
      <w:pPr>
        <w:pStyle w:val="MdSpace"/>
        <w:spacing w:before="0" w:after="60"/>
      </w:pPr>
    </w:p>
    <w:p>
      <w:pPr>
        <w:pStyle w:val="MdListItem"/>
        <w:numPr>
          <w:ilvl w:val="0"/>
          <w:numId w:val="2"/>
        </w:numPr>
      </w:pPr>
      <w:r>
        <w:t xml:space="preserve">one date, MNQ only, exact start/end, one-minute receipt;</w:t>
      </w:r>
    </w:p>
    <w:p>
      <w:pPr>
        <w:pStyle w:val="MdListItem"/>
        <w:numPr>
          <w:ilvl w:val="0"/>
          <w:numId w:val="2"/>
        </w:numPr>
      </w:pPr>
      <w:r>
        <w:t xml:space="preserve">same date, MGC only;</w:t>
      </w:r>
    </w:p>
    <w:p>
      <w:pPr>
        <w:pStyle w:val="MdListItem"/>
        <w:numPr>
          <w:ilvl w:val="0"/>
          <w:numId w:val="2"/>
        </w:numPr>
      </w:pPr>
      <w:r>
        <w:t xml:space="preserve">same date, BOTH;</w:t>
      </w:r>
    </w:p>
    <w:p>
      <w:pPr>
        <w:pStyle w:val="MdListItem"/>
        <w:numPr>
          <w:ilvl w:val="0"/>
          <w:numId w:val="2"/>
        </w:numPr>
      </w:pPr>
      <w:r>
        <w:t xml:space="preserve">inspect first/last bars, exact start bar timestamp, close values, position initialization, threshold comparisons, and emitted event count;</w:t>
      </w:r>
    </w:p>
    <w:p>
      <w:pPr>
        <w:pStyle w:val="MdListItem"/>
        <w:numPr>
          <w:ilvl w:val="0"/>
          <w:numId w:val="2"/>
        </w:numPr>
      </w:pPr>
      <w:r>
        <w:t xml:space="preserve">compare the runtime receipt to the saved one-minute smoke-test data and the Asian prototype regressions.</w:t>
      </w:r>
    </w:p>
    <w:p>
      <w:pPr>
        <w:pStyle w:val="MdSpace"/>
        <w:spacing w:before="0" w:after="60"/>
      </w:pPr>
    </w:p>
    <w:p>
      <w:pPr>
        <w:pStyle w:val="MdParagraph"/>
      </w:pPr>
      <w:r>
        <w:t xml:space="preserve">Do not change BH loader code while debugging this. Treat Asian as a separate integration path.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Virtual account and lifecycle model</w:t>
      </w:r>
    </w:p>
    <w:p>
      <w:pPr>
        <w:pStyle w:val="Heading3"/>
        <w:pStyle w:val="MdHeading3"/>
      </w:pPr>
      <w:r>
        <w:t xml:space="preserve">6.1 Modes</w:t>
      </w:r>
    </w:p>
    <w:p>
      <w:pPr>
        <w:pStyle w:val="MdListItem"/>
        <w:numPr>
          <w:ilvl w:val="0"/>
          <w:numId w:val="2"/>
        </w:numPr>
      </w:pPr>
      <w:r>
        <w:rPr>
          <w:rStyle w:val="MdStrong"/>
          <w:b/>
          <w:bCs/>
        </w:rPr>
        <w:t xml:space="preserve">One account:</w:t>
      </w:r>
      <w:r>
        <w:t xml:space="preserve"> range P/L only. No evaluation, funded, payout, replacement, or firm-cap lifecycle.</w:t>
      </w:r>
    </w:p>
    <w:p>
      <w:pPr>
        <w:pStyle w:val="MdListItem"/>
        <w:numPr>
          <w:ilvl w:val="0"/>
          <w:numId w:val="2"/>
        </w:numPr>
      </w:pPr>
      <w:r>
        <w:rPr>
          <w:rStyle w:val="MdStrong"/>
          <w:b/>
          <w:bCs/>
        </w:rPr>
        <w:t xml:space="preserve">One-day multi-account:</w:t>
      </w:r>
      <w:r>
        <w:t xml:space="preserve"> assignment, W/L, account P/L, profit/loss locks, and unused accounts. No meaningful payout lifecycle.</w:t>
      </w:r>
    </w:p>
    <w:p>
      <w:pPr>
        <w:pStyle w:val="MdListItem"/>
        <w:numPr>
          <w:ilvl w:val="0"/>
          <w:numId w:val="2"/>
        </w:numPr>
      </w:pPr>
      <w:r>
        <w:rPr>
          <w:rStyle w:val="MdStrong"/>
          <w:b/>
          <w:bCs/>
        </w:rPr>
        <w:t xml:space="preserve">Multi-day evaluation-first:</w:t>
      </w:r>
      <w:r>
        <w:t xml:space="preserve"> initial eval purchases, passes, funded transition, payouts, blowouts, replacements, costs, milestones.</w:t>
      </w:r>
    </w:p>
    <w:p>
      <w:pPr>
        <w:pStyle w:val="MdListItem"/>
        <w:numPr>
          <w:ilvl w:val="0"/>
          <w:numId w:val="2"/>
        </w:numPr>
      </w:pPr>
      <w:r>
        <w:rPr>
          <w:rStyle w:val="MdStrong"/>
          <w:b/>
          <w:bCs/>
        </w:rPr>
        <w:t xml:space="preserve">Multi-day direct-funded:</w:t>
      </w:r>
      <w:r>
        <w:t xml:space="preserve"> begins funded; a blown funded slot ends and is not automatically replaced.</w:t>
      </w:r>
    </w:p>
    <w:p>
      <w:pPr>
        <w:pStyle w:val="MdListItem"/>
        <w:numPr>
          <w:ilvl w:val="0"/>
          <w:numId w:val="2"/>
        </w:numPr>
      </w:pPr>
      <w:r>
        <w:rPr>
          <w:rStyle w:val="MdStrong"/>
          <w:b/>
          <w:bCs/>
        </w:rPr>
        <w:t xml:space="preserve">Copy trading:</w:t>
      </w:r>
      <w:r>
        <w:t xml:space="preserve"> all active accounts receive the same completed cycle/event. No rotation.</w:t>
      </w:r>
    </w:p>
    <w:p>
      <w:pPr>
        <w:pStyle w:val="MdSpace"/>
        <w:spacing w:before="0" w:after="60"/>
      </w:pPr>
    </w:p>
    <w:p>
      <w:pPr>
        <w:pStyle w:val="Heading3"/>
        <w:pStyle w:val="MdHeading3"/>
      </w:pPr>
      <w:r>
        <w:t xml:space="preserve">6.2 Normal rotating allocation</w:t>
      </w:r>
    </w:p>
    <w:p>
      <w:pPr>
        <w:pStyle w:val="MdParagraph"/>
      </w:pPr>
      <w:r>
        <w:t xml:space="preserve">For BH rotation, eligible events are sorted by entry time. Each event is assigned to the first available account that is not already locked for the day and is not terminal/bench/cap-blocked. Under the default mode, the account stops receiving further setups after its first daily profit lock or daily loss lock.</w:t>
      </w:r>
    </w:p>
    <w:p>
      <w:pPr>
        <w:pStyle w:val="MdSpace"/>
        <w:spacing w:before="0" w:after="60"/>
      </w:pPr>
    </w:p>
    <w:p>
      <w:pPr>
        <w:pStyle w:val="MdParagraph"/>
      </w:pPr>
      <w:r>
        <w:t xml:space="preserve">The new </w:t>
      </w:r>
      <w:r>
        <w:rPr>
          <w:rStyle w:val="MdStrong"/>
          <w:b/>
          <w:bCs/>
        </w:rPr>
        <w:t xml:space="preserve">multiple setups per day</w:t>
      </w:r>
      <w:r>
        <w:t xml:space="preserve"> option changes only this daily allocation rule:</w:t>
      </w:r>
    </w:p>
    <w:p>
      <w:pPr>
        <w:pStyle w:val="MdSpace"/>
        <w:spacing w:before="0" w:after="60"/>
      </w:pPr>
    </w:p>
    <w:p>
      <w:pPr>
        <w:pStyle w:val="MdListItem"/>
        <w:numPr>
          <w:ilvl w:val="0"/>
          <w:numId w:val="2"/>
        </w:numPr>
      </w:pPr>
      <w:r>
        <w:rPr>
          <w:rStyle w:val="MdStrong"/>
          <w:b/>
          <w:bCs/>
        </w:rPr>
        <w:t xml:space="preserve">Off (default):</w:t>
      </w:r>
      <w:r>
        <w:t xml:space="preserve"> preserve the one-setup-per-account/day behavior and daily lock semantics.</w:t>
      </w:r>
    </w:p>
    <w:p>
      <w:pPr>
        <w:pStyle w:val="MdListItem"/>
        <w:numPr>
          <w:ilvl w:val="0"/>
          <w:numId w:val="2"/>
        </w:numPr>
      </w:pPr>
      <w:r>
        <w:rPr>
          <w:rStyle w:val="MdStrong"/>
          <w:b/>
          <w:bCs/>
        </w:rPr>
        <w:t xml:space="preserve">On:</w:t>
      </w:r>
      <w:r>
        <w:t xml:space="preserve"> continue assigning later eligible setups to an available account until its configured daily profit target, daily loss limit, terminal blowout, or other lifecycle state stops it. This supports scenarios such as four </w:t>
      </w:r>
      <w:r>
        <w:rPr>
          <w:rStyle w:val="MdCode"/>
          <w:u w:val="single"/>
        </w:rPr>
        <w:t xml:space="preserve">$500</w:t>
      </w:r>
      <w:r>
        <w:t xml:space="preserve"> losses against a </w:t>
      </w:r>
      <w:r>
        <w:rPr>
          <w:rStyle w:val="MdCode"/>
          <w:u w:val="single"/>
        </w:rPr>
        <w:t xml:space="preserve">$2,000</w:t>
      </w:r>
      <w:r>
        <w:t xml:space="preserve"> drawdown or multiple wins toward a target.</w:t>
      </w:r>
    </w:p>
    <w:p>
      <w:pPr>
        <w:pStyle w:val="MdSpace"/>
        <w:spacing w:before="0" w:after="60"/>
      </w:pPr>
    </w:p>
    <w:p>
      <w:pPr>
        <w:pStyle w:val="MdParagraph"/>
      </w:pPr>
      <w:r>
        <w:t xml:space="preserve">This option is intended to apply to normal rotation and copy trading. It must be recorded in </w:t>
      </w:r>
      <w:r>
        <w:rPr>
          <w:rStyle w:val="MdCode"/>
          <w:u w:val="single"/>
        </w:rPr>
        <w:t xml:space="preserve">KeystoneArcRunConfig</w:t>
      </w:r>
      <w:r>
        <w:t xml:space="preserve">, visible in the scenario summary, and included in reports so two runs cannot be confused.</w:t>
      </w:r>
    </w:p>
    <w:p>
      <w:pPr>
        <w:pStyle w:val="MdSpace"/>
        <w:spacing w:before="0" w:after="60"/>
      </w:pPr>
    </w:p>
    <w:p>
      <w:pPr>
        <w:pStyle w:val="Heading3"/>
        <w:pStyle w:val="MdHeading3"/>
      </w:pPr>
      <w:r>
        <w:t xml:space="preserve">6.3 Copy trading</w:t>
      </w:r>
    </w:p>
    <w:p>
      <w:pPr>
        <w:pStyle w:val="MdParagraph"/>
      </w:pPr>
      <w:r>
        <w:t xml:space="preserve">Copy mode is a virtual synchronized scenario, not a live copier:</w:t>
      </w:r>
    </w:p>
    <w:p>
      <w:pPr>
        <w:pStyle w:val="MdSpace"/>
        <w:spacing w:before="0" w:after="60"/>
      </w:pPr>
    </w:p>
    <w:p>
      <w:pPr>
        <w:pStyle w:val="MdListItem"/>
        <w:numPr>
          <w:ilvl w:val="0"/>
          <w:numId w:val="2"/>
        </w:numPr>
      </w:pPr>
      <w:r>
        <w:t xml:space="preserve">every active account receives the same event or completed Asian cycle;</w:t>
      </w:r>
    </w:p>
    <w:p>
      <w:pPr>
        <w:pStyle w:val="MdListItem"/>
        <w:numPr>
          <w:ilvl w:val="0"/>
          <w:numId w:val="2"/>
        </w:numPr>
      </w:pPr>
      <w:r>
        <w:t xml:space="preserve">accounts pass, fund, qualify, pay, blow, or bench together when the copied result and rules produce the same state;</w:t>
      </w:r>
    </w:p>
    <w:p>
      <w:pPr>
        <w:pStyle w:val="MdListItem"/>
        <w:numPr>
          <w:ilvl w:val="0"/>
          <w:numId w:val="2"/>
        </w:numPr>
      </w:pPr>
      <w:r>
        <w:t xml:space="preserve">after synchronized blowout, the cohort must restart on the next eligible session if the selected replacement policy allows it and valid events/cycles remain;</w:t>
      </w:r>
    </w:p>
    <w:p>
      <w:pPr>
        <w:pStyle w:val="MdListItem"/>
        <w:numPr>
          <w:ilvl w:val="0"/>
          <w:numId w:val="2"/>
        </w:numPr>
      </w:pPr>
      <w:r>
        <w:t xml:space="preserve">evaluation-first replacement buys new evaluations; direct-funded blowout does not auto-buy a new eval;</w:t>
      </w:r>
    </w:p>
    <w:p>
      <w:pPr>
        <w:pStyle w:val="MdListItem"/>
        <w:numPr>
          <w:ilvl w:val="0"/>
          <w:numId w:val="2"/>
        </w:numPr>
      </w:pPr>
      <w:r>
        <w:t xml:space="preserve">all daily audit rows must show the same copied assignment and then the shared stage/balance result unless account-specific lifecycle rules deliberately differ.</w:t>
      </w:r>
    </w:p>
    <w:p>
      <w:pPr>
        <w:pStyle w:val="MdSpace"/>
        <w:spacing w:before="0" w:after="60"/>
      </w:pPr>
    </w:p>
    <w:p>
      <w:pPr>
        <w:pStyle w:val="MdParagraph"/>
      </w:pPr>
      <w:r>
        <w:t xml:space="preserve">The copy path has separate BH and Asian functions. Never replace it with the rotating allocator.</w:t>
      </w:r>
    </w:p>
    <w:p>
      <w:pPr>
        <w:pStyle w:val="MdSpace"/>
        <w:spacing w:before="0" w:after="60"/>
      </w:pPr>
    </w:p>
    <w:p>
      <w:pPr>
        <w:pStyle w:val="Heading3"/>
        <w:pStyle w:val="MdHeading3"/>
      </w:pPr>
      <w:r>
        <w:t xml:space="preserve">6.4 Evaluation stage</w:t>
      </w:r>
    </w:p>
    <w:p>
      <w:pPr>
        <w:pStyle w:val="MdParagraph"/>
      </w:pPr>
      <w:r>
        <w:t xml:space="preserve">Initial evaluation cost is modeled per purchase, normally </w:t>
      </w:r>
      <w:r>
        <w:rPr>
          <w:rStyle w:val="MdCode"/>
          <w:u w:val="single"/>
        </w:rPr>
        <w:t xml:space="preserve">$120</w:t>
      </w:r>
      <w:r>
        <w:t xml:space="preserve">. Main Step 1 values govern evaluation by default. If </w:t>
      </w:r>
      <w:r>
        <w:rPr>
          <w:rStyle w:val="MdStrong"/>
          <w:b/>
          <w:bCs/>
        </w:rPr>
        <w:t xml:space="preserve">USE EVAL OVERRIDE</w:t>
      </w:r>
      <w:r>
        <w:t xml:space="preserve"> is checked, the evaluation-only values become authoritative:</w:t>
      </w:r>
    </w:p>
    <w:p>
      <w:pPr>
        <w:pStyle w:val="MdSpace"/>
        <w:spacing w:before="0" w:after="60"/>
      </w:pPr>
    </w:p>
    <w:p>
      <w:pPr>
        <w:pStyle w:val="MdListItem"/>
        <w:numPr>
          <w:ilvl w:val="0"/>
          <w:numId w:val="2"/>
        </w:numPr>
      </w:pPr>
      <w:r>
        <w:t xml:space="preserve">evaluation total target;</w:t>
      </w:r>
    </w:p>
    <w:p>
      <w:pPr>
        <w:pStyle w:val="MdListItem"/>
        <w:numPr>
          <w:ilvl w:val="0"/>
          <w:numId w:val="2"/>
        </w:numPr>
      </w:pPr>
      <w:r>
        <w:t xml:space="preserve">evaluation drawdown/failure level;</w:t>
      </w:r>
    </w:p>
    <w:p>
      <w:pPr>
        <w:pStyle w:val="MdListItem"/>
        <w:numPr>
          <w:ilvl w:val="0"/>
          <w:numId w:val="2"/>
        </w:numPr>
      </w:pPr>
      <w:r>
        <w:t xml:space="preserve">evaluation daily loss/credit cap;</w:t>
      </w:r>
    </w:p>
    <w:p>
      <w:pPr>
        <w:pStyle w:val="MdListItem"/>
        <w:numPr>
          <w:ilvl w:val="0"/>
          <w:numId w:val="2"/>
        </w:numPr>
      </w:pPr>
      <w:r>
        <w:t xml:space="preserve">evaluation trade target;</w:t>
      </w:r>
    </w:p>
    <w:p>
      <w:pPr>
        <w:pStyle w:val="MdListItem"/>
        <w:numPr>
          <w:ilvl w:val="0"/>
          <w:numId w:val="2"/>
        </w:numPr>
      </w:pPr>
      <w:r>
        <w:t xml:space="preserve">evaluation trade stop.</w:t>
      </w:r>
    </w:p>
    <w:p>
      <w:pPr>
        <w:pStyle w:val="MdSpace"/>
        <w:spacing w:before="0" w:after="60"/>
      </w:pPr>
    </w:p>
    <w:p>
      <w:pPr>
        <w:pStyle w:val="MdParagraph"/>
      </w:pPr>
      <w:r>
        <w:t xml:space="preserve">When unchecked, the evaluation-only fields must be hidden and must not silently retain a prior override. A passed evaluation becomes funded; it must no longer be labeled “evaluation.”</w:t>
      </w:r>
    </w:p>
    <w:p>
      <w:pPr>
        <w:pStyle w:val="MdSpace"/>
        <w:spacing w:before="0" w:after="60"/>
      </w:pPr>
    </w:p>
    <w:p>
      <w:pPr>
        <w:pStyle w:val="Heading3"/>
        <w:pStyle w:val="MdHeading3"/>
      </w:pPr>
      <w:r>
        <w:t xml:space="preserve">6.5 Funded stage and payouts</w:t>
      </w:r>
    </w:p>
    <w:p>
      <w:pPr>
        <w:pStyle w:val="MdParagraph"/>
      </w:pPr>
      <w:r>
        <w:t xml:space="preserve">Funded accounts build qualifying days and a payout balance. A modeled payout records:</w:t>
      </w:r>
    </w:p>
    <w:p>
      <w:pPr>
        <w:pStyle w:val="MdSpace"/>
        <w:spacing w:before="0" w:after="60"/>
      </w:pPr>
    </w:p>
    <w:p>
      <w:pPr>
        <w:pStyle w:val="MdListItem"/>
        <w:numPr>
          <w:ilvl w:val="0"/>
          <w:numId w:val="2"/>
        </w:numPr>
      </w:pPr>
      <w:r>
        <w:t xml:space="preserve">date;</w:t>
      </w:r>
    </w:p>
    <w:p>
      <w:pPr>
        <w:pStyle w:val="MdListItem"/>
        <w:numPr>
          <w:ilvl w:val="0"/>
          <w:numId w:val="2"/>
        </w:numPr>
      </w:pPr>
      <w:r>
        <w:t xml:space="preserve">account(s) paid;</w:t>
      </w:r>
    </w:p>
    <w:p>
      <w:pPr>
        <w:pStyle w:val="MdListItem"/>
        <w:numPr>
          <w:ilvl w:val="0"/>
          <w:numId w:val="2"/>
        </w:numPr>
      </w:pPr>
      <w:r>
        <w:t xml:space="preserve">gross withdrawal;</w:t>
      </w:r>
    </w:p>
    <w:p>
      <w:pPr>
        <w:pStyle w:val="MdListItem"/>
        <w:numPr>
          <w:ilvl w:val="0"/>
          <w:numId w:val="2"/>
        </w:numPr>
      </w:pPr>
      <w:r>
        <w:t xml:space="preserve">selected account-share cash;</w:t>
      </w:r>
    </w:p>
    <w:p>
      <w:pPr>
        <w:pStyle w:val="MdListItem"/>
        <w:numPr>
          <w:ilvl w:val="0"/>
          <w:numId w:val="2"/>
        </w:numPr>
      </w:pPr>
      <w:r>
        <w:t xml:space="preserve">costs on date;</w:t>
      </w:r>
    </w:p>
    <w:p>
      <w:pPr>
        <w:pStyle w:val="MdListItem"/>
        <w:numPr>
          <w:ilvl w:val="0"/>
          <w:numId w:val="2"/>
        </w:numPr>
      </w:pPr>
      <w:r>
        <w:t xml:space="preserve">cumulative costs through date;</w:t>
      </w:r>
    </w:p>
    <w:p>
      <w:pPr>
        <w:pStyle w:val="MdListItem"/>
        <w:numPr>
          <w:ilvl w:val="0"/>
          <w:numId w:val="2"/>
        </w:numPr>
      </w:pPr>
      <w:r>
        <w:t xml:space="preserve">full net cash through date;</w:t>
      </w:r>
    </w:p>
    <w:p>
      <w:pPr>
        <w:pStyle w:val="MdListItem"/>
        <w:numPr>
          <w:ilvl w:val="0"/>
          <w:numId w:val="2"/>
        </w:numPr>
      </w:pPr>
      <w:r>
        <w:t xml:space="preserve">current balance/stage after payout;</w:t>
      </w:r>
    </w:p>
    <w:p>
      <w:pPr>
        <w:pStyle w:val="MdListItem"/>
        <w:numPr>
          <w:ilvl w:val="0"/>
          <w:numId w:val="2"/>
        </w:numPr>
      </w:pPr>
      <w:r>
        <w:t xml:space="preserve">payout count and contributors.</w:t>
      </w:r>
    </w:p>
    <w:p>
      <w:pPr>
        <w:pStyle w:val="MdSpace"/>
        <w:spacing w:before="0" w:after="60"/>
      </w:pPr>
    </w:p>
    <w:p>
      <w:pPr>
        <w:pStyle w:val="MdParagraph"/>
      </w:pPr>
      <w:r>
        <w:t xml:space="preserve">Payouts are simulated cash events, not actual firm withdrawals. A funded blowout after a payout remains a blowout after payout; the UI must show both facts without using a confusing compound stage label.</w:t>
      </w:r>
    </w:p>
    <w:p>
      <w:pPr>
        <w:pStyle w:val="MdSpace"/>
        <w:spacing w:before="0" w:after="60"/>
      </w:pPr>
    </w:p>
    <w:p>
      <w:pPr>
        <w:pStyle w:val="Heading3"/>
        <w:pStyle w:val="MdHeading3"/>
      </w:pPr>
      <w:r>
        <w:t xml:space="preserve">6.6 Replacement and bench policies</w:t>
      </w:r>
    </w:p>
    <w:p>
      <w:pPr>
        <w:pStyle w:val="MdListItem"/>
        <w:numPr>
          <w:ilvl w:val="0"/>
          <w:numId w:val="2"/>
        </w:numPr>
      </w:pPr>
      <w:r>
        <w:rPr>
          <w:rStyle w:val="MdStrong"/>
          <w:b/>
          <w:bCs/>
        </w:rPr>
        <w:t xml:space="preserve">Continuous replacement, bench off:</w:t>
      </w:r>
      <w:r>
        <w:t xml:space="preserve"> failed evaluation/funded evaluation-first slot buys a replacement on the next session. Later valid setups must not be discarded merely because the initial cohort failed. Total investment keeps accumulating.</w:t>
      </w:r>
    </w:p>
    <w:p>
      <w:pPr>
        <w:pStyle w:val="MdListItem"/>
        <w:numPr>
          <w:ilvl w:val="0"/>
          <w:numId w:val="2"/>
        </w:numPr>
      </w:pPr>
      <w:r>
        <w:rPr>
          <w:rStyle w:val="MdStrong"/>
          <w:b/>
          <w:bCs/>
        </w:rPr>
        <w:t xml:space="preserve">Wait for payout before rebuy, bench on:</w:t>
      </w:r>
      <w:r>
        <w:t xml:space="preserve"> failed slots become pending/benched. New evals are delayed until the selected modeled payout cash can cover the required replacement policy. The report must show pending slots, cash available, cash required, shortfall, and release date.</w:t>
      </w:r>
    </w:p>
    <w:p>
      <w:pPr>
        <w:pStyle w:val="MdListItem"/>
        <w:numPr>
          <w:ilvl w:val="0"/>
          <w:numId w:val="2"/>
        </w:numPr>
      </w:pPr>
      <w:r>
        <w:t xml:space="preserve">Initial investment, replacement investment, cost through first payout, cost through first profitability, and full net after cost are separate metrics.</w:t>
      </w:r>
    </w:p>
    <w:p>
      <w:pPr>
        <w:pStyle w:val="MdSpace"/>
        <w:spacing w:before="0" w:after="60"/>
      </w:pPr>
    </w:p>
    <w:p>
      <w:pPr>
        <w:pStyle w:val="Heading3"/>
        <w:pStyle w:val="MdHeading3"/>
      </w:pPr>
      <w:r>
        <w:t xml:space="preserve">6.7 Firm-funded cap</w:t>
      </w:r>
    </w:p>
    <w:p>
      <w:pPr>
        <w:pStyle w:val="MdParagraph"/>
      </w:pPr>
      <w:r>
        <w:t xml:space="preserve">If enabled:</w:t>
      </w:r>
    </w:p>
    <w:p>
      <w:pPr>
        <w:pStyle w:val="MdSpace"/>
        <w:spacing w:before="0" w:after="60"/>
      </w:pPr>
    </w:p>
    <w:p>
      <w:pPr>
        <w:pStyle w:val="MdListItem"/>
        <w:numPr>
          <w:ilvl w:val="0"/>
          <w:numId w:val="2"/>
        </w:numPr>
      </w:pPr>
      <w:r>
        <w:t xml:space="preserve">evaluation slots are grouped into firms, usually 10 eval slots per firm;</w:t>
      </w:r>
    </w:p>
    <w:p>
      <w:pPr>
        <w:pStyle w:val="MdListItem"/>
        <w:numPr>
          <w:ilvl w:val="0"/>
          <w:numId w:val="2"/>
        </w:numPr>
      </w:pPr>
      <w:r>
        <w:t xml:space="preserve">each firm has a maximum funded count, usually 5;</w:t>
      </w:r>
    </w:p>
    <w:p>
      <w:pPr>
        <w:pStyle w:val="MdListItem"/>
        <w:numPr>
          <w:ilvl w:val="0"/>
          <w:numId w:val="2"/>
        </w:numPr>
      </w:pPr>
      <w:r>
        <w:t xml:space="preserve">passed evaluations that exceed capacity wait in firm-cap state;</w:t>
      </w:r>
    </w:p>
    <w:p>
      <w:pPr>
        <w:pStyle w:val="MdListItem"/>
        <w:numPr>
          <w:ilvl w:val="0"/>
          <w:numId w:val="2"/>
        </w:numPr>
      </w:pPr>
      <w:r>
        <w:t xml:space="preserve">labels, snapshots, daily history, reports, and CSVs retain firm and slot identity.</w:t>
      </w:r>
    </w:p>
    <w:p>
      <w:pPr>
        <w:pStyle w:val="MdSpace"/>
        <w:spacing w:before="0" w:after="60"/>
      </w:pPr>
    </w:p>
    <w:p>
      <w:pPr>
        <w:pStyle w:val="MdParagraph"/>
      </w:pPr>
      <w:r>
        <w:t xml:space="preserve">A passed evaluation waiting for firm capacity is not blown, not funded, and not missing.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Configuration controls and visibility</w:t>
      </w:r>
    </w:p>
    <w:p>
      <w:pPr>
        <w:pStyle w:val="MdParagraph"/>
      </w:pPr>
      <w:r>
        <w:t xml:space="preserve">The main configuration tab contains the strategy/data half and outcome/risk half. Controls are dynamically shown according to the chosen mode.</w:t>
      </w:r>
    </w:p>
    <w:p>
      <w:pPr>
        <w:pStyle w:val="MdSpace"/>
        <w:spacing w:before="0" w:after="60"/>
      </w:pPr>
    </w:p>
    <w:p>
      <w:pPr>
        <w:pStyle w:val="Heading3"/>
        <w:pStyle w:val="MdHeading3"/>
      </w:pPr>
      <w:r>
        <w:t xml:space="preserve">7.1 Common controls</w:t>
      </w:r>
    </w:p>
    <w:p>
      <w:pPr>
        <w:pStyle w:val="MdListItem"/>
        <w:numPr>
          <w:ilvl w:val="0"/>
          <w:numId w:val="2"/>
        </w:numPr>
      </w:pPr>
      <w:r>
        <w:t xml:space="preserve">strategy: BH or ASIAN75;</w:t>
      </w:r>
    </w:p>
    <w:p>
      <w:pPr>
        <w:pStyle w:val="MdListItem"/>
        <w:numPr>
          <w:ilvl w:val="0"/>
          <w:numId w:val="2"/>
        </w:numPr>
      </w:pPr>
      <w:r>
        <w:t xml:space="preserve">instruments: MNQ, MGC, BOTH;</w:t>
      </w:r>
    </w:p>
    <w:p>
      <w:pPr>
        <w:pStyle w:val="MdListItem"/>
        <w:numPr>
          <w:ilvl w:val="0"/>
          <w:numId w:val="2"/>
        </w:numPr>
      </w:pPr>
      <w:r>
        <w:t xml:space="preserve">date mode: one day or date range;</w:t>
      </w:r>
    </w:p>
    <w:p>
      <w:pPr>
        <w:pStyle w:val="MdListItem"/>
        <w:numPr>
          <w:ilvl w:val="0"/>
          <w:numId w:val="2"/>
        </w:numPr>
      </w:pPr>
      <w:r>
        <w:t xml:space="preserve">date start/end;</w:t>
      </w:r>
    </w:p>
    <w:p>
      <w:pPr>
        <w:pStyle w:val="MdListItem"/>
        <w:numPr>
          <w:ilvl w:val="0"/>
          <w:numId w:val="2"/>
        </w:numPr>
      </w:pPr>
      <w:r>
        <w:t xml:space="preserve">setup timeframe for BH, primarily 1M/5M;</w:t>
      </w:r>
    </w:p>
    <w:p>
      <w:pPr>
        <w:pStyle w:val="MdListItem"/>
        <w:numPr>
          <w:ilvl w:val="0"/>
          <w:numId w:val="2"/>
        </w:numPr>
      </w:pPr>
      <w:r>
        <w:t xml:space="preserve">session selector: full Globex, NY open, pre-open, Asia, custom or strategy-specific cycle session;</w:t>
      </w:r>
    </w:p>
    <w:p>
      <w:pPr>
        <w:pStyle w:val="MdListItem"/>
        <w:numPr>
          <w:ilvl w:val="0"/>
          <w:numId w:val="2"/>
        </w:numPr>
      </w:pPr>
      <w:r>
        <w:t xml:space="preserve">direction and risk controls only where applicable;</w:t>
      </w:r>
    </w:p>
    <w:p>
      <w:pPr>
        <w:pStyle w:val="MdListItem"/>
        <w:numPr>
          <w:ilvl w:val="0"/>
          <w:numId w:val="2"/>
        </w:numPr>
      </w:pPr>
      <w:r>
        <w:t xml:space="preserve">target/stop and quantity/stop-model controls;</w:t>
      </w:r>
    </w:p>
    <w:p>
      <w:pPr>
        <w:pStyle w:val="MdListItem"/>
        <w:numPr>
          <w:ilvl w:val="0"/>
          <w:numId w:val="2"/>
        </w:numPr>
      </w:pPr>
      <w:r>
        <w:t xml:space="preserve">data source/receipt diagnostics;</w:t>
      </w:r>
    </w:p>
    <w:p>
      <w:pPr>
        <w:pStyle w:val="MdListItem"/>
        <w:numPr>
          <w:ilvl w:val="0"/>
          <w:numId w:val="2"/>
        </w:numPr>
      </w:pPr>
      <w:r>
        <w:t xml:space="preserve">start/research/backtest button, reset/new test, cancel, save/export controls.</w:t>
      </w:r>
    </w:p>
    <w:p>
      <w:pPr>
        <w:pStyle w:val="MdSpace"/>
        <w:spacing w:before="0" w:after="60"/>
      </w:pPr>
    </w:p>
    <w:p>
      <w:pPr>
        <w:pStyle w:val="Heading3"/>
        <w:pStyle w:val="MdHeading3"/>
      </w:pPr>
      <w:r>
        <w:t xml:space="preserve">7.2 BH-only visibility</w:t>
      </w:r>
    </w:p>
    <w:p>
      <w:pPr>
        <w:pStyle w:val="MdParagraph"/>
      </w:pPr>
      <w:r>
        <w:t xml:space="preserve">BH must remain simple: long Break-High logic, applicable target/stop/session/timeframe controls, and no Asian reversal fields. Asian fields must not affect BH requests or detection.</w:t>
      </w:r>
    </w:p>
    <w:p>
      <w:pPr>
        <w:pStyle w:val="MdSpace"/>
        <w:spacing w:before="0" w:after="60"/>
      </w:pPr>
    </w:p>
    <w:p>
      <w:pPr>
        <w:pStyle w:val="Heading3"/>
        <w:pStyle w:val="MdHeading3"/>
      </w:pPr>
      <w:r>
        <w:t xml:space="preserve">7.3 Asian-only visibility</w:t>
      </w:r>
    </w:p>
    <w:p>
      <w:pPr>
        <w:pStyle w:val="MdParagraph"/>
      </w:pPr>
      <w:r>
        <w:t xml:space="preserve">Asian shows:</w:t>
      </w:r>
    </w:p>
    <w:p>
      <w:pPr>
        <w:pStyle w:val="MdSpace"/>
        <w:spacing w:before="0" w:after="60"/>
      </w:pPr>
    </w:p>
    <w:p>
      <w:pPr>
        <w:pStyle w:val="MdListItem"/>
        <w:numPr>
          <w:ilvl w:val="0"/>
          <w:numId w:val="2"/>
        </w:numPr>
      </w:pPr>
      <w:r>
        <w:t xml:space="preserve">cycle start and end HHMM;</w:t>
      </w:r>
    </w:p>
    <w:p>
      <w:pPr>
        <w:pStyle w:val="MdListItem"/>
        <w:numPr>
          <w:ilvl w:val="0"/>
          <w:numId w:val="2"/>
        </w:numPr>
      </w:pPr>
      <w:r>
        <w:t xml:space="preserve">selected initial direction for MNQ/MGC;</w:t>
      </w:r>
    </w:p>
    <w:p>
      <w:pPr>
        <w:pStyle w:val="MdListItem"/>
        <w:numPr>
          <w:ilvl w:val="0"/>
          <w:numId w:val="2"/>
        </w:numPr>
      </w:pPr>
      <w:r>
        <w:t xml:space="preserve">initial contracts;</w:t>
      </w:r>
    </w:p>
    <w:p>
      <w:pPr>
        <w:pStyle w:val="MdListItem"/>
        <w:numPr>
          <w:ilvl w:val="0"/>
          <w:numId w:val="2"/>
        </w:numPr>
      </w:pPr>
      <w:r>
        <w:t xml:space="preserve">fixed cash loss per leg or price-move mode;</w:t>
      </w:r>
    </w:p>
    <w:p>
      <w:pPr>
        <w:pStyle w:val="MdListItem"/>
        <w:numPr>
          <w:ilvl w:val="0"/>
          <w:numId w:val="2"/>
        </w:numPr>
      </w:pPr>
      <w:r>
        <w:t xml:space="preserve">maximum reversal legs per instrument;</w:t>
      </w:r>
    </w:p>
    <w:p>
      <w:pPr>
        <w:pStyle w:val="MdListItem"/>
        <w:numPr>
          <w:ilvl w:val="0"/>
          <w:numId w:val="2"/>
        </w:numPr>
      </w:pPr>
      <w:r>
        <w:t xml:space="preserve">combined profit target;</w:t>
      </w:r>
    </w:p>
    <w:p>
      <w:pPr>
        <w:pStyle w:val="MdListItem"/>
        <w:numPr>
          <w:ilvl w:val="0"/>
          <w:numId w:val="2"/>
        </w:numPr>
      </w:pPr>
      <w:r>
        <w:t xml:space="preserve">combined loss ceiling or automatically derived ceiling;</w:t>
      </w:r>
    </w:p>
    <w:p>
      <w:pPr>
        <w:pStyle w:val="MdListItem"/>
        <w:numPr>
          <w:ilvl w:val="0"/>
          <w:numId w:val="2"/>
        </w:numPr>
      </w:pPr>
      <w:r>
        <w:t xml:space="preserve">breakeven trigger;</w:t>
      </w:r>
    </w:p>
    <w:p>
      <w:pPr>
        <w:pStyle w:val="MdListItem"/>
        <w:numPr>
          <w:ilvl w:val="0"/>
          <w:numId w:val="2"/>
        </w:numPr>
      </w:pPr>
      <w:r>
        <w:t xml:space="preserve">copy-pool option.</w:t>
      </w:r>
    </w:p>
    <w:p>
      <w:pPr>
        <w:pStyle w:val="MdSpace"/>
        <w:spacing w:before="0" w:after="60"/>
      </w:pPr>
    </w:p>
    <w:p>
      <w:pPr>
        <w:pStyle w:val="MdParagraph"/>
      </w:pPr>
      <w:r>
        <w:t xml:space="preserve">The Asian UI text must say “backtest cycle,” not “detect setups.”</w:t>
      </w:r>
    </w:p>
    <w:p>
      <w:pPr>
        <w:pStyle w:val="MdSpace"/>
        <w:spacing w:before="0" w:after="60"/>
      </w:pPr>
    </w:p>
    <w:p>
      <w:pPr>
        <w:pStyle w:val="Heading3"/>
        <w:pStyle w:val="MdHeading3"/>
      </w:pPr>
      <w:r>
        <w:t xml:space="preserve">7.4 Pool Settings visibility</w:t>
      </w:r>
    </w:p>
    <w:p>
      <w:pPr>
        <w:pStyle w:val="MdParagraph"/>
      </w:pPr>
      <w:r>
        <w:t xml:space="preserve">Pool Settings is the default Simulation Results tab. It groups controls into:</w:t>
      </w:r>
    </w:p>
    <w:p>
      <w:pPr>
        <w:pStyle w:val="MdSpace"/>
        <w:spacing w:before="0" w:after="60"/>
      </w:pPr>
    </w:p>
    <w:p>
      <w:pPr>
        <w:pStyle w:val="MdListItem"/>
        <w:numPr>
          <w:ilvl w:val="0"/>
          <w:numId w:val="2"/>
        </w:numPr>
      </w:pPr>
      <w:r>
        <w:rPr>
          <w:rStyle w:val="MdStrong"/>
          <w:b/>
          <w:bCs/>
        </w:rPr>
        <w:t xml:space="preserve">Core:</w:t>
      </w:r>
      <w:r>
        <w:t xml:space="preserve"> account count, starting path (evaluation/direct funded), copy versus rotation, multiple setups per day;</w:t>
      </w:r>
    </w:p>
    <w:p>
      <w:pPr>
        <w:pStyle w:val="MdListItem"/>
        <w:numPr>
          <w:ilvl w:val="0"/>
          <w:numId w:val="2"/>
        </w:numPr>
      </w:pPr>
      <w:r>
        <w:rPr>
          <w:rStyle w:val="MdStrong"/>
          <w:b/>
          <w:bCs/>
        </w:rPr>
        <w:t xml:space="preserve">Payout/Lifecycle:</w:t>
      </w:r>
      <w:r>
        <w:t xml:space="preserve"> evaluation cost, pass days/target, qualifying day amount, payout balance, payout days, withdrawal amount, account share;</w:t>
      </w:r>
    </w:p>
    <w:p>
      <w:pPr>
        <w:pStyle w:val="MdListItem"/>
        <w:numPr>
          <w:ilvl w:val="0"/>
          <w:numId w:val="2"/>
        </w:numPr>
      </w:pPr>
      <w:r>
        <w:rPr>
          <w:rStyle w:val="MdStrong"/>
          <w:b/>
          <w:bCs/>
        </w:rPr>
        <w:t xml:space="preserve">Optional governance:</w:t>
      </w:r>
      <w:r>
        <w:t xml:space="preserve"> eval override, payout-funded bench/rebuy gate, firm-funded cap, eval slots per firm, max funded per firm.</w:t>
      </w:r>
    </w:p>
    <w:p>
      <w:pPr>
        <w:pStyle w:val="MdSpace"/>
        <w:spacing w:before="0" w:after="60"/>
      </w:pPr>
    </w:p>
    <w:p>
      <w:pPr>
        <w:pStyle w:val="MdParagraph"/>
      </w:pPr>
      <w:r>
        <w:t xml:space="preserve">Unchecked optional groups must disappear completely. One-day studies hide lifecycle-only controls and use an explicit one-day explanation.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Simulation Results tabs and exact purpose</w:t>
      </w:r>
    </w:p>
    <w:p>
      <w:pPr>
        <w:pStyle w:val="Heading3"/>
        <w:pStyle w:val="MdHeading3"/>
      </w:pPr>
      <w:r>
        <w:t xml:space="preserve">8.1 Pool Settings</w:t>
      </w:r>
    </w:p>
    <w:p>
      <w:pPr>
        <w:pStyle w:val="MdParagraph"/>
      </w:pPr>
      <w:r>
        <w:t xml:space="preserve">Default visible tab. It is for scenario inputs, not dense audit output. It should show a concise scenario banner and keep the lifecycle controls reachable without requiring the user to scroll the entire window.</w:t>
      </w:r>
    </w:p>
    <w:p>
      <w:pPr>
        <w:pStyle w:val="MdSpace"/>
        <w:spacing w:before="0" w:after="60"/>
      </w:pPr>
    </w:p>
    <w:p>
      <w:pPr>
        <w:pStyle w:val="Heading3"/>
        <w:pStyle w:val="MdHeading3"/>
      </w:pPr>
      <w:r>
        <w:t xml:space="preserve">8.2 Portfolio Cash</w:t>
      </w:r>
    </w:p>
    <w:p>
      <w:pPr>
        <w:pStyle w:val="MdParagraph"/>
      </w:pPr>
      <w:r>
        <w:t xml:space="preserve">Shows large, distinct metric cards for:</w:t>
      </w:r>
    </w:p>
    <w:p>
      <w:pPr>
        <w:pStyle w:val="MdSpace"/>
        <w:spacing w:before="0" w:after="60"/>
      </w:pPr>
    </w:p>
    <w:p>
      <w:pPr>
        <w:pStyle w:val="MdListItem"/>
        <w:numPr>
          <w:ilvl w:val="0"/>
          <w:numId w:val="2"/>
        </w:numPr>
      </w:pPr>
      <w:r>
        <w:t xml:space="preserve">gross withdrawals;</w:t>
      </w:r>
    </w:p>
    <w:p>
      <w:pPr>
        <w:pStyle w:val="MdListItem"/>
        <w:numPr>
          <w:ilvl w:val="0"/>
          <w:numId w:val="2"/>
        </w:numPr>
      </w:pPr>
      <w:r>
        <w:t xml:space="preserve">cash after share before costs;</w:t>
      </w:r>
    </w:p>
    <w:p>
      <w:pPr>
        <w:pStyle w:val="MdListItem"/>
        <w:numPr>
          <w:ilvl w:val="0"/>
          <w:numId w:val="2"/>
        </w:numPr>
      </w:pPr>
      <w:r>
        <w:t xml:space="preserve">full net cash after all modeled costs;</w:t>
      </w:r>
    </w:p>
    <w:p>
      <w:pPr>
        <w:pStyle w:val="MdListItem"/>
        <w:numPr>
          <w:ilvl w:val="0"/>
          <w:numId w:val="2"/>
        </w:numPr>
      </w:pPr>
      <w:r>
        <w:t xml:space="preserve">total evaluation/replacement cost;</w:t>
      </w:r>
    </w:p>
    <w:p>
      <w:pPr>
        <w:pStyle w:val="MdListItem"/>
        <w:numPr>
          <w:ilvl w:val="0"/>
          <w:numId w:val="2"/>
        </w:numPr>
      </w:pPr>
      <w:r>
        <w:t xml:space="preserve">payout cycles;</w:t>
      </w:r>
    </w:p>
    <w:p>
      <w:pPr>
        <w:pStyle w:val="MdListItem"/>
        <w:numPr>
          <w:ilvl w:val="0"/>
          <w:numId w:val="2"/>
        </w:numPr>
      </w:pPr>
      <w:r>
        <w:t xml:space="preserve">first payout date/timing;</w:t>
      </w:r>
    </w:p>
    <w:p>
      <w:pPr>
        <w:pStyle w:val="MdListItem"/>
        <w:numPr>
          <w:ilvl w:val="0"/>
          <w:numId w:val="2"/>
        </w:numPr>
      </w:pPr>
      <w:r>
        <w:t xml:space="preserve">first profitable date;</w:t>
      </w:r>
    </w:p>
    <w:p>
      <w:pPr>
        <w:pStyle w:val="MdListItem"/>
        <w:numPr>
          <w:ilvl w:val="0"/>
          <w:numId w:val="2"/>
        </w:numPr>
      </w:pPr>
      <w:r>
        <w:t xml:space="preserve">investment through first payout/profitability;</w:t>
      </w:r>
    </w:p>
    <w:p>
      <w:pPr>
        <w:pStyle w:val="MdListItem"/>
        <w:numPr>
          <w:ilvl w:val="0"/>
          <w:numId w:val="2"/>
        </w:numPr>
      </w:pPr>
      <w:r>
        <w:t xml:space="preserve">currently funded;</w:t>
      </w:r>
    </w:p>
    <w:p>
      <w:pPr>
        <w:pStyle w:val="MdListItem"/>
        <w:numPr>
          <w:ilvl w:val="0"/>
          <w:numId w:val="2"/>
        </w:numPr>
      </w:pPr>
      <w:r>
        <w:t xml:space="preserve">eval accounts available/active;</w:t>
      </w:r>
    </w:p>
    <w:p>
      <w:pPr>
        <w:pStyle w:val="MdListItem"/>
        <w:numPr>
          <w:ilvl w:val="0"/>
          <w:numId w:val="2"/>
        </w:numPr>
      </w:pPr>
      <w:r>
        <w:t xml:space="preserve">blown/ended.</w:t>
      </w:r>
    </w:p>
    <w:p>
      <w:pPr>
        <w:pStyle w:val="MdSpace"/>
        <w:spacing w:before="0" w:after="60"/>
      </w:pPr>
    </w:p>
    <w:p>
      <w:pPr>
        <w:pStyle w:val="MdParagraph"/>
      </w:pPr>
      <w:r>
        <w:t xml:space="preserve">The “eval available / active” metric means open evaluation slots versus slots currently trading, not total historical purchases.</w:t>
      </w:r>
    </w:p>
    <w:p>
      <w:pPr>
        <w:pStyle w:val="MdSpace"/>
        <w:spacing w:before="0" w:after="60"/>
      </w:pPr>
    </w:p>
    <w:p>
      <w:pPr>
        <w:pStyle w:val="Heading3"/>
        <w:pStyle w:val="MdHeading3"/>
      </w:pPr>
      <w:r>
        <w:t xml:space="preserve">8.3 Pool Dashboard</w:t>
      </w:r>
    </w:p>
    <w:p>
      <w:pPr>
        <w:pStyle w:val="MdParagraph"/>
      </w:pPr>
      <w:r>
        <w:t xml:space="preserve">Contains essential aggregate metrics and a selected account summary. It should not repeat every field from Portfolio Cash. Selected account identity must use one primary stage label: </w:t>
      </w:r>
      <w:r>
        <w:rPr>
          <w:rStyle w:val="MdCode"/>
          <w:u w:val="single"/>
        </w:rPr>
        <w:t xml:space="preserve">EVALUATION</w:t>
      </w:r>
      <w:r>
        <w:t xml:space="preserve">, </w:t>
      </w:r>
      <w:r>
        <w:rPr>
          <w:rStyle w:val="MdCode"/>
          <w:u w:val="single"/>
        </w:rPr>
        <w:t xml:space="preserve">FUNDED</w:t>
      </w:r>
      <w:r>
        <w:t xml:space="preserve">, </w:t>
      </w:r>
      <w:r>
        <w:rPr>
          <w:rStyle w:val="MdCode"/>
          <w:u w:val="single"/>
        </w:rPr>
        <w:t xml:space="preserve">PAYOUT HISTORY</w:t>
      </w:r>
      <w:r>
        <w:t xml:space="preserve">, </w:t>
      </w:r>
      <w:r>
        <w:rPr>
          <w:rStyle w:val="MdCode"/>
          <w:u w:val="single"/>
        </w:rPr>
        <w:t xml:space="preserve">FIRM CAP WAIT</w:t>
      </w:r>
      <w:r>
        <w:t xml:space="preserve">, </w:t>
      </w:r>
      <w:r>
        <w:rPr>
          <w:rStyle w:val="MdCode"/>
          <w:u w:val="single"/>
        </w:rPr>
        <w:t xml:space="preserve">BENCHED</w:t>
      </w:r>
      <w:r>
        <w:t xml:space="preserve">, or </w:t>
      </w:r>
      <w:r>
        <w:rPr>
          <w:rStyle w:val="MdCode"/>
          <w:u w:val="single"/>
        </w:rPr>
        <w:t xml:space="preserve">BLOWN</w:t>
      </w:r>
      <w:r>
        <w:t xml:space="preserve">. Secondary facts belong in detail cards.</w:t>
      </w:r>
    </w:p>
    <w:p>
      <w:pPr>
        <w:pStyle w:val="MdSpace"/>
        <w:spacing w:before="0" w:after="60"/>
      </w:pPr>
    </w:p>
    <w:p>
      <w:pPr>
        <w:pStyle w:val="Heading3"/>
        <w:pStyle w:val="MdHeading3"/>
      </w:pPr>
      <w:r>
        <w:t xml:space="preserve">8.4 Lifecycle Walkthrough</w:t>
      </w:r>
    </w:p>
    <w:p>
      <w:pPr>
        <w:pStyle w:val="MdParagraph"/>
      </w:pPr>
      <w:r>
        <w:t xml:space="preserve">Account list uses fit-to-box stage-colored names. Selecting an account renders every recorded day, not only milestone events. A day card should include:</w:t>
      </w:r>
    </w:p>
    <w:p>
      <w:pPr>
        <w:pStyle w:val="MdSpace"/>
        <w:spacing w:before="0" w:after="60"/>
      </w:pPr>
    </w:p>
    <w:p>
      <w:pPr>
        <w:pStyle w:val="MdListItem"/>
        <w:numPr>
          <w:ilvl w:val="0"/>
          <w:numId w:val="2"/>
        </w:numPr>
      </w:pPr>
      <w:r>
        <w:t xml:space="preserve">date/session;</w:t>
      </w:r>
    </w:p>
    <w:p>
      <w:pPr>
        <w:pStyle w:val="MdListItem"/>
        <w:numPr>
          <w:ilvl w:val="0"/>
          <w:numId w:val="2"/>
        </w:numPr>
      </w:pPr>
      <w:r>
        <w:t xml:space="preserve">stage at close;</w:t>
      </w:r>
    </w:p>
    <w:p>
      <w:pPr>
        <w:pStyle w:val="MdListItem"/>
        <w:numPr>
          <w:ilvl w:val="0"/>
          <w:numId w:val="2"/>
        </w:numPr>
      </w:pPr>
      <w:r>
        <w:t xml:space="preserve">setup/cycle assignment count;</w:t>
      </w:r>
    </w:p>
    <w:p>
      <w:pPr>
        <w:pStyle w:val="MdListItem"/>
        <w:numPr>
          <w:ilvl w:val="0"/>
          <w:numId w:val="2"/>
        </w:numPr>
      </w:pPr>
      <w:r>
        <w:t xml:space="preserve">W/L and daily P/L;</w:t>
      </w:r>
    </w:p>
    <w:p>
      <w:pPr>
        <w:pStyle w:val="MdListItem"/>
        <w:numPr>
          <w:ilvl w:val="0"/>
          <w:numId w:val="2"/>
        </w:numPr>
      </w:pPr>
      <w:r>
        <w:t xml:space="preserve">balance;</w:t>
      </w:r>
    </w:p>
    <w:p>
      <w:pPr>
        <w:pStyle w:val="MdListItem"/>
        <w:numPr>
          <w:ilvl w:val="0"/>
          <w:numId w:val="2"/>
        </w:numPr>
      </w:pPr>
      <w:r>
        <w:t xml:space="preserve">evaluation/funded status;</w:t>
      </w:r>
    </w:p>
    <w:p>
      <w:pPr>
        <w:pStyle w:val="MdListItem"/>
        <w:numPr>
          <w:ilvl w:val="0"/>
          <w:numId w:val="2"/>
        </w:numPr>
      </w:pPr>
      <w:r>
        <w:t xml:space="preserve">cost and replacement deltas;</w:t>
      </w:r>
    </w:p>
    <w:p>
      <w:pPr>
        <w:pStyle w:val="MdListItem"/>
        <w:numPr>
          <w:ilvl w:val="0"/>
          <w:numId w:val="2"/>
        </w:numPr>
      </w:pPr>
      <w:r>
        <w:t xml:space="preserve">payout amount/count;</w:t>
      </w:r>
    </w:p>
    <w:p>
      <w:pPr>
        <w:pStyle w:val="MdListItem"/>
        <w:numPr>
          <w:ilvl w:val="0"/>
          <w:numId w:val="2"/>
        </w:numPr>
      </w:pPr>
      <w:r>
        <w:t xml:space="preserve">qualifying-day progress;</w:t>
      </w:r>
    </w:p>
    <w:p>
      <w:pPr>
        <w:pStyle w:val="MdListItem"/>
        <w:numPr>
          <w:ilvl w:val="0"/>
          <w:numId w:val="2"/>
        </w:numPr>
      </w:pPr>
      <w:r>
        <w:t xml:space="preserve">pass/failure;</w:t>
      </w:r>
    </w:p>
    <w:p>
      <w:pPr>
        <w:pStyle w:val="MdListItem"/>
        <w:numPr>
          <w:ilvl w:val="0"/>
          <w:numId w:val="2"/>
        </w:numPr>
      </w:pPr>
      <w:r>
        <w:t xml:space="preserve">bench/wait/firm-cap/blowout signal;</w:t>
      </w:r>
    </w:p>
    <w:p>
      <w:pPr>
        <w:pStyle w:val="MdListItem"/>
        <w:numPr>
          <w:ilvl w:val="0"/>
          <w:numId w:val="2"/>
        </w:numPr>
      </w:pPr>
      <w:r>
        <w:t xml:space="preserve">next-session state.</w:t>
      </w:r>
    </w:p>
    <w:p>
      <w:pPr>
        <w:pStyle w:val="MdSpace"/>
        <w:spacing w:before="0" w:after="60"/>
      </w:pPr>
    </w:p>
    <w:p>
      <w:pPr>
        <w:pStyle w:val="MdParagraph"/>
      </w:pPr>
      <w:r>
        <w:t xml:space="preserve">Milestone cards may follow the daily cards, but cannot replace them.</w:t>
      </w:r>
    </w:p>
    <w:p>
      <w:pPr>
        <w:pStyle w:val="MdSpace"/>
        <w:spacing w:before="0" w:after="60"/>
      </w:pPr>
    </w:p>
    <w:p>
      <w:pPr>
        <w:pStyle w:val="Heading3"/>
        <w:pStyle w:val="MdHeading3"/>
      </w:pPr>
      <w:r>
        <w:t xml:space="preserve">8.5 First Return</w:t>
      </w:r>
    </w:p>
    <w:p>
      <w:pPr>
        <w:pStyle w:val="MdParagraph"/>
      </w:pPr>
      <w:r>
        <w:t xml:space="preserve">Only accounts that actually reached at least one payout appear in the account list. If none did, show an explicit no-first-payout message. Selecting an account shows:</w:t>
      </w:r>
    </w:p>
    <w:p>
      <w:pPr>
        <w:pStyle w:val="MdSpace"/>
        <w:spacing w:before="0" w:after="60"/>
      </w:pPr>
    </w:p>
    <w:p>
      <w:pPr>
        <w:pStyle w:val="MdListItem"/>
        <w:numPr>
          <w:ilvl w:val="0"/>
          <w:numId w:val="2"/>
        </w:numPr>
      </w:pPr>
      <w:r>
        <w:t xml:space="preserve">account/stage history;</w:t>
      </w:r>
    </w:p>
    <w:p>
      <w:pPr>
        <w:pStyle w:val="MdListItem"/>
        <w:numPr>
          <w:ilvl w:val="0"/>
          <w:numId w:val="2"/>
        </w:numPr>
      </w:pPr>
      <w:r>
        <w:t xml:space="preserve">lifecycle start date;</w:t>
      </w:r>
    </w:p>
    <w:p>
      <w:pPr>
        <w:pStyle w:val="MdListItem"/>
        <w:numPr>
          <w:ilvl w:val="0"/>
          <w:numId w:val="2"/>
        </w:numPr>
      </w:pPr>
      <w:r>
        <w:t xml:space="preserve">first payout date and days elapsed;</w:t>
      </w:r>
    </w:p>
    <w:p>
      <w:pPr>
        <w:pStyle w:val="MdListItem"/>
        <w:numPr>
          <w:ilvl w:val="0"/>
          <w:numId w:val="2"/>
        </w:numPr>
      </w:pPr>
      <w:r>
        <w:t xml:space="preserve">first payout gross and after-share cash;</w:t>
      </w:r>
    </w:p>
    <w:p>
      <w:pPr>
        <w:pStyle w:val="MdListItem"/>
        <w:numPr>
          <w:ilvl w:val="0"/>
          <w:numId w:val="2"/>
        </w:numPr>
      </w:pPr>
      <w:r>
        <w:t xml:space="preserve">costs through first payout;</w:t>
      </w:r>
    </w:p>
    <w:p>
      <w:pPr>
        <w:pStyle w:val="MdListItem"/>
        <w:numPr>
          <w:ilvl w:val="0"/>
          <w:numId w:val="2"/>
        </w:numPr>
      </w:pPr>
      <w:r>
        <w:t xml:space="preserve">full net through first payout;</w:t>
      </w:r>
    </w:p>
    <w:p>
      <w:pPr>
        <w:pStyle w:val="MdListItem"/>
        <w:numPr>
          <w:ilvl w:val="0"/>
          <w:numId w:val="2"/>
        </w:numPr>
      </w:pPr>
      <w:r>
        <w:t xml:space="preserve">current balance/stage;</w:t>
      </w:r>
    </w:p>
    <w:p>
      <w:pPr>
        <w:pStyle w:val="MdListItem"/>
        <w:numPr>
          <w:ilvl w:val="0"/>
          <w:numId w:val="2"/>
        </w:numPr>
      </w:pPr>
      <w:r>
        <w:t xml:space="preserve">payout count;</w:t>
      </w:r>
    </w:p>
    <w:p>
      <w:pPr>
        <w:pStyle w:val="MdListItem"/>
        <w:numPr>
          <w:ilvl w:val="0"/>
          <w:numId w:val="2"/>
        </w:numPr>
      </w:pPr>
      <w:r>
        <w:t xml:space="preserve">daily, weekly and monthly P/L summaries;</w:t>
      </w:r>
    </w:p>
    <w:p>
      <w:pPr>
        <w:pStyle w:val="MdListItem"/>
        <w:numPr>
          <w:ilvl w:val="0"/>
          <w:numId w:val="2"/>
        </w:numPr>
      </w:pPr>
      <w:r>
        <w:t xml:space="preserve">first-pass and replacement facts.</w:t>
      </w:r>
    </w:p>
    <w:p>
      <w:pPr>
        <w:pStyle w:val="MdSpace"/>
        <w:spacing w:before="0" w:after="60"/>
      </w:pPr>
    </w:p>
    <w:p>
      <w:pPr>
        <w:pStyle w:val="MdParagraph"/>
      </w:pPr>
      <w:r>
        <w:t xml:space="preserve">Full rows remain in CSV/report traces even when filtered from the visible First Return list.</w:t>
      </w:r>
    </w:p>
    <w:p>
      <w:pPr>
        <w:pStyle w:val="MdSpace"/>
        <w:spacing w:before="0" w:after="60"/>
      </w:pPr>
    </w:p>
    <w:p>
      <w:pPr>
        <w:pStyle w:val="Heading3"/>
        <w:pStyle w:val="MdHeading3"/>
      </w:pPr>
      <w:r>
        <w:t xml:space="preserve">8.6 Performance Periods</w:t>
      </w:r>
    </w:p>
    <w:p>
      <w:pPr>
        <w:pStyle w:val="MdParagraph"/>
      </w:pPr>
      <w:r>
        <w:t xml:space="preserve">Supports daily, weekly and monthly period summaries from loaded records only. Each card should show:</w:t>
      </w:r>
    </w:p>
    <w:p>
      <w:pPr>
        <w:pStyle w:val="MdSpace"/>
        <w:spacing w:before="0" w:after="60"/>
      </w:pPr>
    </w:p>
    <w:p>
      <w:pPr>
        <w:pStyle w:val="MdListItem"/>
        <w:numPr>
          <w:ilvl w:val="0"/>
          <w:numId w:val="2"/>
        </w:numPr>
      </w:pPr>
      <w:r>
        <w:t xml:space="preserve">accounts traded/assigned;</w:t>
      </w:r>
    </w:p>
    <w:p>
      <w:pPr>
        <w:pStyle w:val="MdListItem"/>
        <w:numPr>
          <w:ilvl w:val="0"/>
          <w:numId w:val="2"/>
        </w:numPr>
      </w:pPr>
      <w:r>
        <w:t xml:space="preserve">profit-lock count;</w:t>
      </w:r>
    </w:p>
    <w:p>
      <w:pPr>
        <w:pStyle w:val="MdListItem"/>
        <w:numPr>
          <w:ilvl w:val="0"/>
          <w:numId w:val="2"/>
        </w:numPr>
      </w:pPr>
      <w:r>
        <w:t xml:space="preserve">loss-lock count;</w:t>
      </w:r>
    </w:p>
    <w:p>
      <w:pPr>
        <w:pStyle w:val="MdListItem"/>
        <w:numPr>
          <w:ilvl w:val="0"/>
          <w:numId w:val="2"/>
        </w:numPr>
      </w:pPr>
      <w:r>
        <w:t xml:space="preserve">evaluation/funded stage counts;</w:t>
      </w:r>
    </w:p>
    <w:p>
      <w:pPr>
        <w:pStyle w:val="MdListItem"/>
        <w:numPr>
          <w:ilvl w:val="0"/>
          <w:numId w:val="2"/>
        </w:numPr>
      </w:pPr>
      <w:r>
        <w:t xml:space="preserve">payouts reached during the period;</w:t>
      </w:r>
    </w:p>
    <w:p>
      <w:pPr>
        <w:pStyle w:val="MdListItem"/>
        <w:numPr>
          <w:ilvl w:val="0"/>
          <w:numId w:val="2"/>
        </w:numPr>
      </w:pPr>
      <w:r>
        <w:t xml:space="preserve">concise P/L and cost;</w:t>
      </w:r>
    </w:p>
    <w:p>
      <w:pPr>
        <w:pStyle w:val="MdListItem"/>
        <w:numPr>
          <w:ilvl w:val="0"/>
          <w:numId w:val="2"/>
        </w:numPr>
      </w:pPr>
      <w:r>
        <w:t xml:space="preserve">best/fastest/longest streak facts where derivable;</w:t>
      </w:r>
    </w:p>
    <w:p>
      <w:pPr>
        <w:pStyle w:val="MdListItem"/>
        <w:numPr>
          <w:ilvl w:val="0"/>
          <w:numId w:val="2"/>
        </w:numPr>
      </w:pPr>
      <w:r>
        <w:t xml:space="preserve">account badges that explicitly say account + stage + profit/loss/payout/active.</w:t>
      </w:r>
    </w:p>
    <w:p>
      <w:pPr>
        <w:pStyle w:val="MdSpace"/>
        <w:spacing w:before="0" w:after="60"/>
      </w:pPr>
    </w:p>
    <w:p>
      <w:pPr>
        <w:pStyle w:val="MdParagraph"/>
      </w:pPr>
      <w:r>
        <w:t xml:space="preserve">Colors must have explicit legend meaning and cannot be the only signal.</w:t>
      </w:r>
    </w:p>
    <w:p>
      <w:pPr>
        <w:pStyle w:val="MdSpace"/>
        <w:spacing w:before="0" w:after="60"/>
      </w:pPr>
    </w:p>
    <w:p>
      <w:pPr>
        <w:pStyle w:val="Heading3"/>
        <w:pStyle w:val="MdHeading3"/>
      </w:pPr>
      <w:r>
        <w:t xml:space="preserve">8.7 Research Findings</w:t>
      </w:r>
    </w:p>
    <w:p>
      <w:pPr>
        <w:pStyle w:val="MdParagraph"/>
      </w:pPr>
      <w:r>
        <w:t xml:space="preserve">Prominent card: </w:t>
      </w:r>
      <w:r>
        <w:rPr>
          <w:rStyle w:val="MdStrong"/>
          <w:b/>
          <w:bCs/>
        </w:rPr>
        <w:t xml:space="preserve">ACTIONABLE OBSERVATIONS FROM LOADED DATA</w:t>
      </w:r>
      <w:r>
        <w:t xml:space="preserve">. Findings must state whether they are:</w:t>
      </w:r>
    </w:p>
    <w:p>
      <w:pPr>
        <w:pStyle w:val="MdSpace"/>
        <w:spacing w:before="0" w:after="60"/>
      </w:pPr>
    </w:p>
    <w:p>
      <w:pPr>
        <w:pStyle w:val="MdListItem"/>
        <w:numPr>
          <w:ilvl w:val="0"/>
          <w:numId w:val="2"/>
        </w:numPr>
      </w:pPr>
      <w:r>
        <w:t xml:space="preserve">current-run evidence;</w:t>
      </w:r>
    </w:p>
    <w:p>
      <w:pPr>
        <w:pStyle w:val="MdListItem"/>
        <w:numPr>
          <w:ilvl w:val="0"/>
          <w:numId w:val="2"/>
        </w:numPr>
      </w:pPr>
      <w:r>
        <w:t xml:space="preserve">comparison/optimization result from actually loaded scenarios;</w:t>
      </w:r>
    </w:p>
    <w:p>
      <w:pPr>
        <w:pStyle w:val="MdListItem"/>
        <w:numPr>
          <w:ilvl w:val="0"/>
          <w:numId w:val="2"/>
        </w:numPr>
      </w:pPr>
      <w:r>
        <w:t xml:space="preserve">hypothesis or unavailable because no broader comparison was loaded.</w:t>
      </w:r>
    </w:p>
    <w:p>
      <w:pPr>
        <w:pStyle w:val="MdSpace"/>
        <w:spacing w:before="0" w:after="60"/>
      </w:pPr>
    </w:p>
    <w:p>
      <w:pPr>
        <w:pStyle w:val="MdParagraph"/>
      </w:pPr>
      <w:r>
        <w:t xml:space="preserve">Include selected-scope win rate, max drawdown, best/worst loaded periods, payout drought, account utilization, first-return timing, and loaded instrument/session/timeframe/parameter scope. Never claim a best session/timeframe from a single loaded scope.</w:t>
      </w:r>
    </w:p>
    <w:p>
      <w:pPr>
        <w:pStyle w:val="MdSpace"/>
        <w:spacing w:before="0" w:after="60"/>
      </w:pPr>
    </w:p>
    <w:p>
      <w:pPr>
        <w:pStyle w:val="Heading3"/>
        <w:pStyle w:val="MdHeading3"/>
      </w:pPr>
      <w:r>
        <w:t xml:space="preserve">8.8 Payout Cycles</w:t>
      </w:r>
    </w:p>
    <w:p>
      <w:pPr>
        <w:pStyle w:val="MdParagraph"/>
      </w:pPr>
      <w:r>
        <w:t xml:space="preserve">Two conceptual areas:</w:t>
      </w:r>
    </w:p>
    <w:p>
      <w:pPr>
        <w:pStyle w:val="MdSpace"/>
        <w:spacing w:before="0" w:after="60"/>
      </w:pPr>
    </w:p>
    <w:p>
      <w:pPr>
        <w:pStyle w:val="MdListItem"/>
        <w:numPr>
          <w:ilvl w:val="0"/>
          <w:numId w:val="3"/>
        </w:numPr>
      </w:pPr>
      <w:r>
        <w:rPr>
          <w:rStyle w:val="MdStrong"/>
          <w:b/>
          <w:bCs/>
        </w:rPr>
        <w:t xml:space="preserve">Cycle aggregate:</w:t>
      </w:r>
      <w:r>
        <w:t xml:space="preserve"> payout date, number of paid accounts, gross withdrawal, after-share cash, costs on date, cumulative costs, full net, stage counts, contributors.</w:t>
      </w:r>
    </w:p>
    <w:p>
      <w:pPr>
        <w:pStyle w:val="MdListItem"/>
        <w:numPr>
          <w:ilvl w:val="0"/>
          <w:numId w:val="3"/>
        </w:numPr>
      </w:pPr>
      <w:r>
        <w:rPr>
          <w:rStyle w:val="MdStrong"/>
          <w:b/>
          <w:bCs/>
        </w:rPr>
        <w:t xml:space="preserve">Payout Accounts:</w:t>
      </w:r>
      <w:r>
        <w:t xml:space="preserve"> selectable accounts with payout history only. Account detail shows start/current balance, first/last payout, gross/after-share/net, total costs, payout count, daily/weekly/monthly results, time to first payout, profitability date, and post-payout blowout if any.</w:t>
      </w:r>
    </w:p>
    <w:p>
      <w:pPr>
        <w:pStyle w:val="MdSpace"/>
        <w:spacing w:before="0" w:after="60"/>
      </w:pPr>
    </w:p>
    <w:p>
      <w:pPr>
        <w:pStyle w:val="MdParagraph"/>
      </w:pPr>
      <w:r>
        <w:t xml:space="preserve">The month filter must update large summary cards for that selected month: total payouts, accounts paid, gross cash, after-share cash, costs, and net cash.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Evidence chart behavior</w:t>
      </w:r>
    </w:p>
    <w:p>
      <w:pPr>
        <w:pStyle w:val="MdParagraph"/>
      </w:pPr>
      <w:r>
        <w:t xml:space="preserve">The evidence window is direct historical chart evidence, not a synthetic price plot. It has:</w:t>
      </w:r>
    </w:p>
    <w:p>
      <w:pPr>
        <w:pStyle w:val="MdSpace"/>
        <w:spacing w:before="0" w:after="60"/>
      </w:pPr>
    </w:p>
    <w:p>
      <w:pPr>
        <w:pStyle w:val="MdListItem"/>
        <w:numPr>
          <w:ilvl w:val="0"/>
          <w:numId w:val="2"/>
        </w:numPr>
      </w:pPr>
      <w:r>
        <w:t xml:space="preserve">instrument tabs;</w:t>
      </w:r>
    </w:p>
    <w:p>
      <w:pPr>
        <w:pStyle w:val="MdListItem"/>
        <w:numPr>
          <w:ilvl w:val="0"/>
          <w:numId w:val="2"/>
        </w:numPr>
      </w:pPr>
      <w:r>
        <w:t xml:space="preserve">session/date tabs and date strip;</w:t>
      </w:r>
    </w:p>
    <w:p>
      <w:pPr>
        <w:pStyle w:val="MdListItem"/>
        <w:numPr>
          <w:ilvl w:val="0"/>
          <w:numId w:val="2"/>
        </w:numPr>
      </w:pPr>
      <w:r>
        <w:t xml:space="preserve">exact candles and timestamps;</w:t>
      </w:r>
    </w:p>
    <w:p>
      <w:pPr>
        <w:pStyle w:val="MdListItem"/>
        <w:numPr>
          <w:ilvl w:val="0"/>
          <w:numId w:val="2"/>
        </w:numPr>
      </w:pPr>
      <w:r>
        <w:t xml:space="preserve">setup/event markers;</w:t>
      </w:r>
    </w:p>
    <w:p>
      <w:pPr>
        <w:pStyle w:val="MdListItem"/>
        <w:numPr>
          <w:ilvl w:val="0"/>
          <w:numId w:val="2"/>
        </w:numPr>
      </w:pPr>
      <w:r>
        <w:t xml:space="preserve">win/loss/exit/no-entry filters;</w:t>
      </w:r>
    </w:p>
    <w:p>
      <w:pPr>
        <w:pStyle w:val="MdListItem"/>
        <w:numPr>
          <w:ilvl w:val="0"/>
          <w:numId w:val="2"/>
        </w:numPr>
      </w:pPr>
      <w:r>
        <w:t xml:space="preserve">selected-entry detail;</w:t>
      </w:r>
    </w:p>
    <w:p>
      <w:pPr>
        <w:pStyle w:val="MdListItem"/>
        <w:numPr>
          <w:ilvl w:val="0"/>
          <w:numId w:val="2"/>
        </w:numPr>
      </w:pPr>
      <w:r>
        <w:t xml:space="preserve">price tags, pointers, dashed leaders, entry circles, and result badges;</w:t>
      </w:r>
    </w:p>
    <w:p>
      <w:pPr>
        <w:pStyle w:val="MdListItem"/>
        <w:numPr>
          <w:ilvl w:val="0"/>
          <w:numId w:val="2"/>
        </w:numPr>
      </w:pPr>
      <w:r>
        <w:t xml:space="preserve">hover OHLC/time inspector;</w:t>
      </w:r>
    </w:p>
    <w:p>
      <w:pPr>
        <w:pStyle w:val="MdListItem"/>
        <w:numPr>
          <w:ilvl w:val="0"/>
          <w:numId w:val="2"/>
        </w:numPr>
      </w:pPr>
      <w:r>
        <w:t xml:space="preserve">crosshair;</w:t>
      </w:r>
    </w:p>
    <w:p>
      <w:pPr>
        <w:pStyle w:val="MdListItem"/>
        <w:numPr>
          <w:ilvl w:val="0"/>
          <w:numId w:val="2"/>
        </w:numPr>
      </w:pPr>
      <w:r>
        <w:t xml:space="preserve">click-to-select and persistent pulse/highlight until another selection or chart click;</w:t>
      </w:r>
    </w:p>
    <w:p>
      <w:pPr>
        <w:pStyle w:val="MdListItem"/>
        <w:numPr>
          <w:ilvl w:val="0"/>
          <w:numId w:val="2"/>
        </w:numPr>
      </w:pPr>
      <w:r>
        <w:t xml:space="preserve">horizontal and vertical zoom state;</w:t>
      </w:r>
    </w:p>
    <w:p>
      <w:pPr>
        <w:pStyle w:val="MdListItem"/>
        <w:numPr>
          <w:ilvl w:val="0"/>
          <w:numId w:val="2"/>
        </w:numPr>
      </w:pPr>
      <w:r>
        <w:t xml:space="preserve">drag/pan state;</w:t>
      </w:r>
    </w:p>
    <w:p>
      <w:pPr>
        <w:pStyle w:val="MdListItem"/>
        <w:numPr>
          <w:ilvl w:val="0"/>
          <w:numId w:val="2"/>
        </w:numPr>
      </w:pPr>
      <w:r>
        <w:t xml:space="preserve">separate axis scaling and scrollbars where available;</w:t>
      </w:r>
    </w:p>
    <w:p>
      <w:pPr>
        <w:pStyle w:val="MdListItem"/>
        <w:numPr>
          <w:ilvl w:val="0"/>
          <w:numId w:val="2"/>
        </w:numPr>
      </w:pPr>
      <w:r>
        <w:t xml:space="preserve">controls hidden by default and revealed by a button;</w:t>
      </w:r>
    </w:p>
    <w:p>
      <w:pPr>
        <w:pStyle w:val="MdListItem"/>
        <w:numPr>
          <w:ilvl w:val="0"/>
          <w:numId w:val="2"/>
        </w:numPr>
      </w:pPr>
      <w:r>
        <w:t xml:space="preserve">close confirmation and request-generation guards.</w:t>
      </w:r>
    </w:p>
    <w:p>
      <w:pPr>
        <w:pStyle w:val="MdSpace"/>
        <w:spacing w:before="0" w:after="60"/>
      </w:pPr>
    </w:p>
    <w:p>
      <w:pPr>
        <w:pStyle w:val="MdParagraph"/>
      </w:pPr>
      <w:r>
        <w:t xml:space="preserve">Evidence colors are intentionally different from candle colors. Current semantic palette includes:</w:t>
      </w:r>
    </w:p>
    <w:p>
      <w:pPr>
        <w:pStyle w:val="MdSpace"/>
        <w:spacing w:before="0" w:after="60"/>
      </w:pPr>
    </w:p>
    <w:p>
      <w:pPr>
        <w:pStyle w:val="MdListItem"/>
        <w:numPr>
          <w:ilvl w:val="0"/>
          <w:numId w:val="2"/>
        </w:numPr>
      </w:pPr>
      <w:r>
        <w:t xml:space="preserve">dark navy/blue: application background and active/assigned state;</w:t>
      </w:r>
    </w:p>
    <w:p>
      <w:pPr>
        <w:pStyle w:val="MdListItem"/>
        <w:numPr>
          <w:ilvl w:val="0"/>
          <w:numId w:val="2"/>
        </w:numPr>
      </w:pPr>
      <w:r>
        <w:t xml:space="preserve">cyan: information, verified data, active chart accents;</w:t>
      </w:r>
    </w:p>
    <w:p>
      <w:pPr>
        <w:pStyle w:val="MdListItem"/>
        <w:numPr>
          <w:ilvl w:val="0"/>
          <w:numId w:val="2"/>
        </w:numPr>
      </w:pPr>
      <w:r>
        <w:t xml:space="preserve">purple/orchid: evaluation, wins, research/comparison accents;</w:t>
      </w:r>
    </w:p>
    <w:p>
      <w:pPr>
        <w:pStyle w:val="MdListItem"/>
        <w:numPr>
          <w:ilvl w:val="0"/>
          <w:numId w:val="2"/>
        </w:numPr>
      </w:pPr>
      <w:r>
        <w:t xml:space="preserve">green: funded, positive, profit lock;</w:t>
      </w:r>
    </w:p>
    <w:p>
      <w:pPr>
        <w:pStyle w:val="MdListItem"/>
        <w:numPr>
          <w:ilvl w:val="0"/>
          <w:numId w:val="2"/>
        </w:numPr>
      </w:pPr>
      <w:r>
        <w:t xml:space="preserve">gold/amber: payout, waiting, session boundary, losses in evidence legend where specified;</w:t>
      </w:r>
    </w:p>
    <w:p>
      <w:pPr>
        <w:pStyle w:val="MdListItem"/>
        <w:numPr>
          <w:ilvl w:val="0"/>
          <w:numId w:val="2"/>
        </w:numPr>
      </w:pPr>
      <w:r>
        <w:t xml:space="preserve">red/pink: loss lock, blown, terminal failure;</w:t>
      </w:r>
    </w:p>
    <w:p>
      <w:pPr>
        <w:pStyle w:val="MdListItem"/>
        <w:numPr>
          <w:ilvl w:val="0"/>
          <w:numId w:val="2"/>
        </w:numPr>
      </w:pPr>
      <w:r>
        <w:t xml:space="preserve">ice/gray: exits, muted/unverified/no-entry context.</w:t>
      </w:r>
    </w:p>
    <w:p>
      <w:pPr>
        <w:pStyle w:val="MdSpace"/>
        <w:spacing w:before="0" w:after="60"/>
      </w:pPr>
    </w:p>
    <w:p>
      <w:pPr>
        <w:pStyle w:val="MdParagraph"/>
      </w:pPr>
      <w:r>
        <w:t xml:space="preserve">Labels must always state meaning; color is supplemental.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Historical loader architecture</w:t>
      </w:r>
    </w:p>
    <w:p>
      <w:pPr>
        <w:pStyle w:val="Heading3"/>
        <w:pStyle w:val="MdHeading3"/>
      </w:pPr>
      <w:r>
        <w:t xml:space="preserve">10.1 Request order</w:t>
      </w:r>
    </w:p>
    <w:p>
      <w:pPr>
        <w:pStyle w:val="MdParagraph"/>
      </w:pPr>
      <w:r>
        <w:t xml:space="preserve">For each needed instrument and data role, the loader attempts:</w:t>
      </w:r>
    </w:p>
    <w:p>
      <w:pPr>
        <w:pStyle w:val="MdSpace"/>
        <w:spacing w:before="0" w:after="60"/>
      </w:pPr>
    </w:p>
    <w:p>
      <w:pPr>
        <w:pStyle w:val="MdListItem"/>
        <w:numPr>
          <w:ilvl w:val="0"/>
          <w:numId w:val="3"/>
        </w:numPr>
      </w:pPr>
      <w:r>
        <w:t xml:space="preserve">exact compatible open-chart bar copy with full range coverage;</w:t>
      </w:r>
    </w:p>
    <w:p>
      <w:pPr>
        <w:pStyle w:val="MdListItem"/>
        <w:numPr>
          <w:ilvl w:val="0"/>
          <w:numId w:val="3"/>
        </w:numPr>
      </w:pPr>
      <w:r>
        <w:t xml:space="preserve">direct full-range </w:t>
      </w:r>
      <w:r>
        <w:rPr>
          <w:rStyle w:val="MdCode"/>
          <w:u w:val="single"/>
        </w:rPr>
        <w:t xml:space="preserve">BarsRequest</w:t>
      </w:r>
      <w:r>
        <w:t xml:space="preserve"> using resolved instrument/trading-hours;</w:t>
      </w:r>
    </w:p>
    <w:p>
      <w:pPr>
        <w:pStyle w:val="MdListItem"/>
        <w:numPr>
          <w:ilvl w:val="0"/>
          <w:numId w:val="3"/>
        </w:numPr>
      </w:pPr>
      <w:r>
        <w:t xml:space="preserve">compatible open contract or default 24x7 fallback;</w:t>
      </w:r>
    </w:p>
    <w:p>
      <w:pPr>
        <w:pStyle w:val="MdListItem"/>
        <w:numPr>
          <w:ilvl w:val="0"/>
          <w:numId w:val="3"/>
        </w:numPr>
      </w:pPr>
      <w:r>
        <w:t xml:space="preserve">continuous/controlled fallback where valid;</w:t>
      </w:r>
    </w:p>
    <w:p>
      <w:pPr>
        <w:pStyle w:val="MdListItem"/>
        <w:numPr>
          <w:ilvl w:val="0"/>
          <w:numId w:val="3"/>
        </w:numPr>
      </w:pPr>
      <w:r>
        <w:t xml:space="preserve">date-compatible contract/rollover recovery when the complete range is missing;</w:t>
      </w:r>
    </w:p>
    <w:p>
      <w:pPr>
        <w:pStyle w:val="MdListItem"/>
        <w:numPr>
          <w:ilvl w:val="0"/>
          <w:numId w:val="3"/>
        </w:numPr>
      </w:pPr>
      <w:r>
        <w:t xml:space="preserve">MGC-specific incomplete-range recovery through native delivery cadence.</w:t>
      </w:r>
    </w:p>
    <w:p>
      <w:pPr>
        <w:pStyle w:val="MdSpace"/>
        <w:spacing w:before="0" w:after="60"/>
      </w:pPr>
    </w:p>
    <w:p>
      <w:pPr>
        <w:pStyle w:val="MdParagraph"/>
      </w:pPr>
      <w:r>
        <w:t xml:space="preserve">Setup and outcome requests are distinct. Asian requests use one-minute cycle data and do not enter BH detection.</w:t>
      </w:r>
    </w:p>
    <w:p>
      <w:pPr>
        <w:pStyle w:val="MdSpace"/>
        <w:spacing w:before="0" w:after="60"/>
      </w:pPr>
    </w:p>
    <w:p>
      <w:pPr>
        <w:pStyle w:val="Heading3"/>
        <w:pStyle w:val="MdHeading3"/>
      </w:pPr>
      <w:r>
        <w:t xml:space="preserve">10.2 Full Globex time window</w:t>
      </w:r>
    </w:p>
    <w:p>
      <w:pPr>
        <w:pStyle w:val="MdParagraph"/>
      </w:pPr>
      <w:r>
        <w:t xml:space="preserve">Full Globex is modeled as 18:00 ET through 15:55 ET the next day. The 17:00–18:00 maintenance gap is outside the research window. Request context must not shift the start into that gap.</w:t>
      </w:r>
    </w:p>
    <w:p>
      <w:pPr>
        <w:pStyle w:val="MdSpace"/>
        <w:spacing w:before="0" w:after="60"/>
      </w:pPr>
    </w:p>
    <w:p>
      <w:pPr>
        <w:pStyle w:val="Heading3"/>
        <w:pStyle w:val="MdHeading3"/>
      </w:pPr>
      <w:r>
        <w:t xml:space="preserve">10.3 Open-chart discovery</w:t>
      </w:r>
    </w:p>
    <w:p>
      <w:pPr>
        <w:pStyle w:val="MdParagraph"/>
      </w:pPr>
      <w:r>
        <w:t xml:space="preserve">The AddOn captures chart windows and traverses chart controls, direct properties, BarsArray, visual tree, and logical tree. It checks root symbol, timeframe, instrument-date compatibility, and full requested coverage. A chart that only contains the current year must not be treated as coverage for a 2020 request.</w:t>
      </w:r>
    </w:p>
    <w:p>
      <w:pPr>
        <w:pStyle w:val="MdSpace"/>
        <w:spacing w:before="0" w:after="60"/>
      </w:pPr>
    </w:p>
    <w:p>
      <w:pPr>
        <w:pStyle w:val="Heading3"/>
        <w:pStyle w:val="MdHeading3"/>
      </w:pPr>
      <w:r>
        <w:t xml:space="preserve">10.4 MNQ and MGC isolation</w:t>
      </w:r>
    </w:p>
    <w:p>
      <w:pPr>
        <w:pStyle w:val="MdListItem"/>
        <w:numPr>
          <w:ilvl w:val="0"/>
          <w:numId w:val="2"/>
        </w:numPr>
      </w:pPr>
      <w:r>
        <w:t xml:space="preserve">MNQ resolver and working behavior are protected.</w:t>
      </w:r>
    </w:p>
    <w:p>
      <w:pPr>
        <w:pStyle w:val="MdListItem"/>
        <w:numPr>
          <w:ilvl w:val="0"/>
          <w:numId w:val="2"/>
        </w:numPr>
      </w:pPr>
      <w:r>
        <w:t xml:space="preserve">MNQ pre-launch guard prevents presenting pre-Micro history as valid MNQ; the practical guard is around 2019-05-06.</w:t>
      </w:r>
    </w:p>
    <w:p>
      <w:pPr>
        <w:pStyle w:val="MdListItem"/>
        <w:numPr>
          <w:ilvl w:val="0"/>
          <w:numId w:val="2"/>
        </w:numPr>
      </w:pPr>
      <w:r>
        <w:t xml:space="preserve">MGC has a separate range-start resolver and native delivery schedule. A non-zero first-month fragment is incomplete if it misses the requested range.</w:t>
      </w:r>
    </w:p>
    <w:p>
      <w:pPr>
        <w:pStyle w:val="MdListItem"/>
        <w:numPr>
          <w:ilvl w:val="0"/>
          <w:numId w:val="2"/>
        </w:numPr>
      </w:pPr>
      <w:r>
        <w:t xml:space="preserve">MGC recovery uses February, April, June, August, October, and December delivery cadence where the native schedule supports it.</w:t>
      </w:r>
    </w:p>
    <w:p>
      <w:pPr>
        <w:pStyle w:val="MdListItem"/>
        <w:numPr>
          <w:ilvl w:val="0"/>
          <w:numId w:val="2"/>
        </w:numPr>
      </w:pPr>
      <w:r>
        <w:t xml:space="preserve">MGC latest recovery is locally validated but needs user runtime receipt proof.</w:t>
      </w:r>
    </w:p>
    <w:p>
      <w:pPr>
        <w:pStyle w:val="MdListItem"/>
        <w:numPr>
          <w:ilvl w:val="0"/>
          <w:numId w:val="2"/>
        </w:numPr>
      </w:pPr>
      <w:r>
        <w:t xml:space="preserve">BOTH scope must queue both instruments independently and only finalize when each required data path is valid for the selected strategy.</w:t>
      </w:r>
    </w:p>
    <w:p>
      <w:pPr>
        <w:pStyle w:val="MdSpace"/>
        <w:spacing w:before="0" w:after="60"/>
      </w:pPr>
    </w:p>
    <w:p>
      <w:pPr>
        <w:pStyle w:val="Heading3"/>
        <w:pStyle w:val="MdHeading3"/>
      </w:pPr>
      <w:r>
        <w:t xml:space="preserve">10.5 Reset/retry behavior</w:t>
      </w:r>
    </w:p>
    <w:p>
      <w:pPr>
        <w:pStyle w:val="MdParagraph"/>
      </w:pPr>
      <w:r>
        <w:rPr>
          <w:rStyle w:val="MdCode"/>
          <w:u w:val="single"/>
        </w:rPr>
        <w:t xml:space="preserve">NEW TEST</w:t>
      </w:r>
      <w:r>
        <w:t xml:space="preserve"> is the full reset. Configuration changes after a confirmed run request a confirmation before clearing candidates, evidence, events, accounts, and pool results; saved files remain. </w:t>
      </w:r>
      <w:r>
        <w:rPr>
          <w:rStyle w:val="MdCode"/>
          <w:u w:val="single"/>
        </w:rPr>
        <w:t xml:space="preserve">CLEAR POOL RESULTS</w:t>
      </w:r>
      <w:r>
        <w:t xml:space="preserve"> clears only allocation/lifecycle results and preserves detected events and chart evidence. A failed request clears stale result totals and releases the research submission lock so the user can correct dates/instrument/chart history and retry without restarting the whole lab.</w:t>
      </w:r>
    </w:p>
    <w:p>
      <w:pPr>
        <w:pStyle w:val="MdSpace"/>
        <w:spacing w:before="0" w:after="60"/>
      </w:pPr>
    </w:p>
    <w:p>
      <w:pPr>
        <w:pStyle w:val="MdParagraph"/>
      </w:pPr>
      <w:r>
        <w:t xml:space="preserve">The next developer must test this sequence in runtime:</w:t>
      </w:r>
    </w:p>
    <w:p>
      <w:pPr>
        <w:pStyle w:val="MdSpace"/>
        <w:spacing w:before="0" w:after="60"/>
      </w:pPr>
    </w:p>
    <w:p>
      <w:pPr>
        <w:pStyle w:val="MdListItem"/>
        <w:numPr>
          <w:ilvl w:val="0"/>
          <w:numId w:val="3"/>
        </w:numPr>
      </w:pPr>
      <w:r>
        <w:t xml:space="preserve">load a valid range;</w:t>
      </w:r>
    </w:p>
    <w:p>
      <w:pPr>
        <w:pStyle w:val="MdListItem"/>
        <w:numPr>
          <w:ilvl w:val="0"/>
          <w:numId w:val="3"/>
        </w:numPr>
      </w:pPr>
      <w:r>
        <w:t xml:space="preserve">run simulation;</w:t>
      </w:r>
    </w:p>
    <w:p>
      <w:pPr>
        <w:pStyle w:val="MdListItem"/>
        <w:numPr>
          <w:ilvl w:val="0"/>
          <w:numId w:val="3"/>
        </w:numPr>
      </w:pPr>
      <w:r>
        <w:t xml:space="preserve">select a different date/range;</w:t>
      </w:r>
    </w:p>
    <w:p>
      <w:pPr>
        <w:pStyle w:val="MdListItem"/>
        <w:numPr>
          <w:ilvl w:val="0"/>
          <w:numId w:val="3"/>
        </w:numPr>
      </w:pPr>
      <w:r>
        <w:t xml:space="preserve">retry after failure;</w:t>
      </w:r>
    </w:p>
    <w:p>
      <w:pPr>
        <w:pStyle w:val="MdListItem"/>
        <w:numPr>
          <w:ilvl w:val="0"/>
          <w:numId w:val="3"/>
        </w:numPr>
      </w:pPr>
      <w:r>
        <w:t xml:space="preserve">run again without stale bars, old account totals, old evidence tabs, or a locked start button.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Comparison and optimization workbench</w:t>
      </w:r>
    </w:p>
    <w:p>
      <w:pPr>
        <w:pStyle w:val="MdParagraph"/>
      </w:pPr>
      <w:r>
        <w:t xml:space="preserve">The comparison workbench requests selected timeframes from 1 minute through 4 hours when the user asks for comparison. It stores setup caches and series status keyed by instrument/timeframe, then builds comparison rows. It can also run a target/stop grid.</w:t>
      </w:r>
    </w:p>
    <w:p>
      <w:pPr>
        <w:pStyle w:val="MdSpace"/>
        <w:spacing w:before="0" w:after="60"/>
      </w:pPr>
    </w:p>
    <w:p>
      <w:pPr>
        <w:pStyle w:val="MdParagraph"/>
      </w:pPr>
      <w:r>
        <w:t xml:space="preserve">Comparison output must state:</w:t>
      </w:r>
    </w:p>
    <w:p>
      <w:pPr>
        <w:pStyle w:val="MdSpace"/>
        <w:spacing w:before="0" w:after="60"/>
      </w:pPr>
    </w:p>
    <w:p>
      <w:pPr>
        <w:pStyle w:val="MdListItem"/>
        <w:numPr>
          <w:ilvl w:val="0"/>
          <w:numId w:val="2"/>
        </w:numPr>
      </w:pPr>
      <w:r>
        <w:t xml:space="preserve">instrument;</w:t>
      </w:r>
    </w:p>
    <w:p>
      <w:pPr>
        <w:pStyle w:val="MdListItem"/>
        <w:numPr>
          <w:ilvl w:val="0"/>
          <w:numId w:val="2"/>
        </w:numPr>
      </w:pPr>
      <w:r>
        <w:t xml:space="preserve">timeframe;</w:t>
      </w:r>
    </w:p>
    <w:p>
      <w:pPr>
        <w:pStyle w:val="MdListItem"/>
        <w:numPr>
          <w:ilvl w:val="0"/>
          <w:numId w:val="2"/>
        </w:numPr>
      </w:pPr>
      <w:r>
        <w:t xml:space="preserve">session/date scope;</w:t>
      </w:r>
    </w:p>
    <w:p>
      <w:pPr>
        <w:pStyle w:val="MdListItem"/>
        <w:numPr>
          <w:ilvl w:val="0"/>
          <w:numId w:val="2"/>
        </w:numPr>
      </w:pPr>
      <w:r>
        <w:t xml:space="preserve">setup count, wins, losses and exits;</w:t>
      </w:r>
    </w:p>
    <w:p>
      <w:pPr>
        <w:pStyle w:val="MdListItem"/>
        <w:numPr>
          <w:ilvl w:val="0"/>
          <w:numId w:val="2"/>
        </w:numPr>
      </w:pPr>
      <w:r>
        <w:t xml:space="preserve">raw versus assigned results;</w:t>
      </w:r>
    </w:p>
    <w:p>
      <w:pPr>
        <w:pStyle w:val="MdListItem"/>
        <w:numPr>
          <w:ilvl w:val="0"/>
          <w:numId w:val="2"/>
        </w:numPr>
      </w:pPr>
      <w:r>
        <w:t xml:space="preserve">target/stop assumptions;</w:t>
      </w:r>
    </w:p>
    <w:p>
      <w:pPr>
        <w:pStyle w:val="MdListItem"/>
        <w:numPr>
          <w:ilvl w:val="0"/>
          <w:numId w:val="2"/>
        </w:numPr>
      </w:pPr>
      <w:r>
        <w:t xml:space="preserve">whether one-minute outcome reconciliation passed;</w:t>
      </w:r>
    </w:p>
    <w:p>
      <w:pPr>
        <w:pStyle w:val="MdListItem"/>
        <w:numPr>
          <w:ilvl w:val="0"/>
          <w:numId w:val="2"/>
        </w:numPr>
      </w:pPr>
      <w:r>
        <w:t xml:space="preserve">whether the result is current loaded evidence or a hypothesis.</w:t>
      </w:r>
    </w:p>
    <w:p>
      <w:pPr>
        <w:pStyle w:val="MdSpace"/>
        <w:spacing w:before="0" w:after="60"/>
      </w:pPr>
    </w:p>
    <w:p>
      <w:pPr>
        <w:pStyle w:val="MdParagraph"/>
      </w:pPr>
      <w:r>
        <w:t xml:space="preserve">For a one-day study, do not present multi-day prop lifecycle conclusions. For a live/personal mode if ever reintroduced, do not show prop evaluation data; current Keystone scope is prop-only and historical.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Reporting and export package</w:t>
      </w:r>
    </w:p>
    <w:p>
      <w:pPr>
        <w:pStyle w:val="Heading3"/>
        <w:pStyle w:val="MdHeading3"/>
      </w:pPr>
      <w:r>
        <w:t xml:space="preserve">12.1 HTML report</w:t>
      </w:r>
    </w:p>
    <w:p>
      <w:pPr>
        <w:pStyle w:val="MdParagraph"/>
      </w:pPr>
      <w:r>
        <w:rPr>
          <w:rStyle w:val="MdCode"/>
          <w:u w:val="single"/>
        </w:rPr>
        <w:t xml:space="preserve">BuildHtmlReport</w:t>
      </w:r>
      <w:r>
        <w:t xml:space="preserve"> creates a browser-style dashboard, not a raw spreadsheet. The report includes navigation/filter scripts and conceptual sections mirroring the UI:</w:t>
      </w:r>
    </w:p>
    <w:p>
      <w:pPr>
        <w:pStyle w:val="MdSpace"/>
        <w:spacing w:before="0" w:after="60"/>
      </w:pPr>
    </w:p>
    <w:p>
      <w:pPr>
        <w:pStyle w:val="MdListItem"/>
        <w:numPr>
          <w:ilvl w:val="0"/>
          <w:numId w:val="2"/>
        </w:numPr>
      </w:pPr>
      <w:r>
        <w:t xml:space="preserve">study/configuration and range summary;</w:t>
      </w:r>
    </w:p>
    <w:p>
      <w:pPr>
        <w:pStyle w:val="MdListItem"/>
        <w:numPr>
          <w:ilvl w:val="0"/>
          <w:numId w:val="2"/>
        </w:numPr>
      </w:pPr>
      <w:r>
        <w:t xml:space="preserve">selected-session daily data;</w:t>
      </w:r>
    </w:p>
    <w:p>
      <w:pPr>
        <w:pStyle w:val="MdListItem"/>
        <w:numPr>
          <w:ilvl w:val="0"/>
          <w:numId w:val="2"/>
        </w:numPr>
      </w:pPr>
      <w:r>
        <w:t xml:space="preserve">portfolio cash and capital policy;</w:t>
      </w:r>
    </w:p>
    <w:p>
      <w:pPr>
        <w:pStyle w:val="MdListItem"/>
        <w:numPr>
          <w:ilvl w:val="0"/>
          <w:numId w:val="2"/>
        </w:numPr>
      </w:pPr>
      <w:r>
        <w:t xml:space="preserve">payout account detail;</w:t>
      </w:r>
    </w:p>
    <w:p>
      <w:pPr>
        <w:pStyle w:val="MdListItem"/>
        <w:numPr>
          <w:ilvl w:val="0"/>
          <w:numId w:val="2"/>
        </w:numPr>
      </w:pPr>
      <w:r>
        <w:t xml:space="preserve">payout cycles and monthly summaries;</w:t>
      </w:r>
    </w:p>
    <w:p>
      <w:pPr>
        <w:pStyle w:val="MdListItem"/>
        <w:numPr>
          <w:ilvl w:val="0"/>
          <w:numId w:val="2"/>
        </w:numPr>
      </w:pPr>
      <w:r>
        <w:t xml:space="preserve">first-return accounts;</w:t>
      </w:r>
    </w:p>
    <w:p>
      <w:pPr>
        <w:pStyle w:val="MdListItem"/>
        <w:numPr>
          <w:ilvl w:val="0"/>
          <w:numId w:val="2"/>
        </w:numPr>
      </w:pPr>
      <w:r>
        <w:t xml:space="preserve">account/lifecycle progress;</w:t>
      </w:r>
    </w:p>
    <w:p>
      <w:pPr>
        <w:pStyle w:val="MdListItem"/>
        <w:numPr>
          <w:ilvl w:val="0"/>
          <w:numId w:val="2"/>
        </w:numPr>
      </w:pPr>
      <w:r>
        <w:t xml:space="preserve">lifecycle daily/weekly/monthly periods;</w:t>
      </w:r>
    </w:p>
    <w:p>
      <w:pPr>
        <w:pStyle w:val="MdListItem"/>
        <w:numPr>
          <w:ilvl w:val="0"/>
          <w:numId w:val="2"/>
        </w:numPr>
      </w:pPr>
      <w:r>
        <w:t xml:space="preserve">research findings/advice;</w:t>
      </w:r>
    </w:p>
    <w:p>
      <w:pPr>
        <w:pStyle w:val="MdListItem"/>
        <w:numPr>
          <w:ilvl w:val="0"/>
          <w:numId w:val="2"/>
        </w:numPr>
      </w:pPr>
      <w:r>
        <w:t xml:space="preserve">comparison/optimization rows;</w:t>
      </w:r>
    </w:p>
    <w:p>
      <w:pPr>
        <w:pStyle w:val="MdListItem"/>
        <w:numPr>
          <w:ilvl w:val="0"/>
          <w:numId w:val="2"/>
        </w:numPr>
      </w:pPr>
      <w:r>
        <w:t xml:space="preserve">traceable CSV links.</w:t>
      </w:r>
    </w:p>
    <w:p>
      <w:pPr>
        <w:pStyle w:val="MdSpace"/>
        <w:spacing w:before="0" w:after="60"/>
      </w:pPr>
    </w:p>
    <w:p>
      <w:pPr>
        <w:pStyle w:val="MdParagraph"/>
      </w:pPr>
      <w:r>
        <w:t xml:space="preserve">HTML must preserve semantic labels, explicit color legend, filter scope, and the distinction between gross, after-share, cost, and full net.</w:t>
      </w:r>
    </w:p>
    <w:p>
      <w:pPr>
        <w:pStyle w:val="MdSpace"/>
        <w:spacing w:before="0" w:after="60"/>
      </w:pPr>
    </w:p>
    <w:p>
      <w:pPr>
        <w:pStyle w:val="Heading3"/>
        <w:pStyle w:val="MdHeading3"/>
      </w:pPr>
      <w:r>
        <w:t xml:space="preserve">12.2 CSV outputs</w:t>
      </w:r>
    </w:p>
    <w:p>
      <w:pPr>
        <w:pStyle w:val="MdParagraph"/>
      </w:pPr>
      <w:r>
        <w:t xml:space="preserve">Current helpers include:</w:t>
      </w:r>
    </w:p>
    <w:p>
      <w:pPr>
        <w:pStyle w:val="MdSpace"/>
        <w:spacing w:before="0" w:after="60"/>
      </w:pPr>
    </w:p>
    <w:p>
      <w:pPr>
        <w:pStyle w:val="MdListItem"/>
        <w:numPr>
          <w:ilvl w:val="0"/>
          <w:numId w:val="2"/>
        </w:numPr>
      </w:pPr>
      <w:r>
        <w:t xml:space="preserve">event ledger;</w:t>
      </w:r>
    </w:p>
    <w:p>
      <w:pPr>
        <w:pStyle w:val="MdListItem"/>
        <w:numPr>
          <w:ilvl w:val="0"/>
          <w:numId w:val="2"/>
        </w:numPr>
      </w:pPr>
      <w:r>
        <w:t xml:space="preserve">account snapshot;</w:t>
      </w:r>
    </w:p>
    <w:p>
      <w:pPr>
        <w:pStyle w:val="MdListItem"/>
        <w:numPr>
          <w:ilvl w:val="0"/>
          <w:numId w:val="2"/>
        </w:numPr>
      </w:pPr>
      <w:r>
        <w:t xml:space="preserve">account daily lifecycle;</w:t>
      </w:r>
    </w:p>
    <w:p>
      <w:pPr>
        <w:pStyle w:val="MdListItem"/>
        <w:numPr>
          <w:ilvl w:val="0"/>
          <w:numId w:val="2"/>
        </w:numPr>
      </w:pPr>
      <w:r>
        <w:t xml:space="preserve">capital policy summary and daily policy rows;</w:t>
      </w:r>
    </w:p>
    <w:p>
      <w:pPr>
        <w:pStyle w:val="MdListItem"/>
        <w:numPr>
          <w:ilvl w:val="0"/>
          <w:numId w:val="2"/>
        </w:numPr>
      </w:pPr>
      <w:r>
        <w:t xml:space="preserve">payout cycles;</w:t>
      </w:r>
    </w:p>
    <w:p>
      <w:pPr>
        <w:pStyle w:val="MdListItem"/>
        <w:numPr>
          <w:ilvl w:val="0"/>
          <w:numId w:val="2"/>
        </w:numPr>
      </w:pPr>
      <w:r>
        <w:t xml:space="preserve">first-return rows;</w:t>
      </w:r>
    </w:p>
    <w:p>
      <w:pPr>
        <w:pStyle w:val="MdListItem"/>
        <w:numPr>
          <w:ilvl w:val="0"/>
          <w:numId w:val="2"/>
        </w:numPr>
      </w:pPr>
      <w:r>
        <w:t xml:space="preserve">payout accounts;</w:t>
      </w:r>
    </w:p>
    <w:p>
      <w:pPr>
        <w:pStyle w:val="MdListItem"/>
        <w:numPr>
          <w:ilvl w:val="0"/>
          <w:numId w:val="2"/>
        </w:numPr>
      </w:pPr>
      <w:r>
        <w:t xml:space="preserve">daily/session score;</w:t>
      </w:r>
    </w:p>
    <w:p>
      <w:pPr>
        <w:pStyle w:val="MdListItem"/>
        <w:numPr>
          <w:ilvl w:val="0"/>
          <w:numId w:val="2"/>
        </w:numPr>
      </w:pPr>
      <w:r>
        <w:t xml:space="preserve">balance matrix;</w:t>
      </w:r>
    </w:p>
    <w:p>
      <w:pPr>
        <w:pStyle w:val="MdListItem"/>
        <w:numPr>
          <w:ilvl w:val="0"/>
          <w:numId w:val="2"/>
        </w:numPr>
      </w:pPr>
      <w:r>
        <w:t xml:space="preserve">comparison rows;</w:t>
      </w:r>
    </w:p>
    <w:p>
      <w:pPr>
        <w:pStyle w:val="MdListItem"/>
        <w:numPr>
          <w:ilvl w:val="0"/>
          <w:numId w:val="2"/>
        </w:numPr>
      </w:pPr>
      <w:r>
        <w:t xml:space="preserve">research findings.</w:t>
      </w:r>
    </w:p>
    <w:p>
      <w:pPr>
        <w:pStyle w:val="MdSpace"/>
        <w:spacing w:before="0" w:after="60"/>
      </w:pPr>
    </w:p>
    <w:p>
      <w:pPr>
        <w:pStyle w:val="MdParagraph"/>
      </w:pPr>
      <w:r>
        <w:t xml:space="preserve">CSV is the traceable audit layer. UI filters may hide rows; export must not fabricate or silently delete them.</w:t>
      </w:r>
    </w:p>
    <w:p>
      <w:pPr>
        <w:pStyle w:val="MdSpace"/>
        <w:spacing w:before="0" w:after="60"/>
      </w:pPr>
    </w:p>
    <w:p>
      <w:pPr>
        <w:pStyle w:val="Heading3"/>
        <w:pStyle w:val="MdHeading3"/>
      </w:pPr>
      <w:r>
        <w:t xml:space="preserve">12.3 Evidence package</w:t>
      </w:r>
    </w:p>
    <w:p>
      <w:pPr>
        <w:pStyle w:val="MdParagraph"/>
      </w:pPr>
      <w:r>
        <w:rPr>
          <w:rStyle w:val="MdCode"/>
          <w:u w:val="single"/>
        </w:rPr>
        <w:t xml:space="preserve">ExportEvidencePackage</w:t>
      </w:r>
      <w:r>
        <w:t xml:space="preserve"> creates a local research directory under the user documents area, with an index HTML and instrument/date evidence assets. The package should contain a manifest, report, CSVs, and chart evidence organized by instrument and date/session. Export names must remain deterministic enough for repeatable research and should distinguish MNQ/MGC, strategy, date range, and timeframe.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Controls, close behavior, and visual language</w:t>
      </w:r>
    </w:p>
    <w:p>
      <w:pPr>
        <w:pStyle w:val="MdParagraph"/>
      </w:pPr>
      <w:r>
        <w:t xml:space="preserve">The top header includes </w:t>
      </w:r>
      <w:r>
        <w:rPr>
          <w:rStyle w:val="MdCode"/>
          <w:u w:val="single"/>
        </w:rPr>
        <w:t xml:space="preserve">NEW TEST</w:t>
      </w:r>
      <w:r>
        <w:t xml:space="preserve">, </w:t>
      </w:r>
      <w:r>
        <w:rPr>
          <w:rStyle w:val="MdCode"/>
          <w:u w:val="single"/>
        </w:rPr>
        <w:t xml:space="preserve">CLOSE CHARTS</w:t>
      </w:r>
      <w:r>
        <w:t xml:space="preserve">, and </w:t>
      </w:r>
      <w:r>
        <w:rPr>
          <w:rStyle w:val="MdCode"/>
          <w:u w:val="single"/>
        </w:rPr>
        <w:t xml:space="preserve">CLOSE LAB</w:t>
      </w:r>
      <w:r>
        <w:t xml:space="preserve">. Closing an unsaved run presents choices such as keep working, save + exit, export + exit, or discard. Closing a saved/clean workspace is shorter and does not repeatedly ask to save.</w:t>
      </w:r>
    </w:p>
    <w:p>
      <w:pPr>
        <w:pStyle w:val="MdSpace"/>
        <w:spacing w:before="0" w:after="60"/>
      </w:pPr>
    </w:p>
    <w:p>
      <w:pPr>
        <w:pStyle w:val="MdParagraph"/>
      </w:pPr>
      <w:r>
        <w:t xml:space="preserve">Buttons should be enabled only when their prerequisite is satisfied:</w:t>
      </w:r>
    </w:p>
    <w:p>
      <w:pPr>
        <w:pStyle w:val="MdSpace"/>
        <w:spacing w:before="0" w:after="60"/>
      </w:pPr>
    </w:p>
    <w:p>
      <w:pPr>
        <w:pStyle w:val="MdListItem"/>
        <w:numPr>
          <w:ilvl w:val="0"/>
          <w:numId w:val="2"/>
        </w:numPr>
      </w:pPr>
      <w:r>
        <w:t xml:space="preserve">start disabled while busy or configuration is not confirmed;</w:t>
      </w:r>
    </w:p>
    <w:p>
      <w:pPr>
        <w:pStyle w:val="MdListItem"/>
        <w:numPr>
          <w:ilvl w:val="0"/>
          <w:numId w:val="2"/>
        </w:numPr>
      </w:pPr>
      <w:r>
        <w:t xml:space="preserve">run ledger disabled until usable data is available;</w:t>
      </w:r>
    </w:p>
    <w:p>
      <w:pPr>
        <w:pStyle w:val="MdListItem"/>
        <w:numPr>
          <w:ilvl w:val="0"/>
          <w:numId w:val="2"/>
        </w:numPr>
      </w:pPr>
      <w:r>
        <w:t xml:space="preserve">virtual pool disabled until eligible events and verified outcomes exist;</w:t>
      </w:r>
    </w:p>
    <w:p>
      <w:pPr>
        <w:pStyle w:val="MdListItem"/>
        <w:numPr>
          <w:ilvl w:val="0"/>
          <w:numId w:val="2"/>
        </w:numPr>
      </w:pPr>
      <w:r>
        <w:t xml:space="preserve">evidence disabled until detected data is available;</w:t>
      </w:r>
    </w:p>
    <w:p>
      <w:pPr>
        <w:pStyle w:val="MdListItem"/>
        <w:numPr>
          <w:ilvl w:val="0"/>
          <w:numId w:val="2"/>
        </w:numPr>
      </w:pPr>
      <w:r>
        <w:t xml:space="preserve">export disabled until there is something to export;</w:t>
      </w:r>
    </w:p>
    <w:p>
      <w:pPr>
        <w:pStyle w:val="MdListItem"/>
        <w:numPr>
          <w:ilvl w:val="0"/>
          <w:numId w:val="2"/>
        </w:numPr>
      </w:pPr>
      <w:r>
        <w:t xml:space="preserve">cancel visible only during an active request.</w:t>
      </w:r>
    </w:p>
    <w:p>
      <w:pPr>
        <w:pStyle w:val="MdSpace"/>
        <w:spacing w:before="0" w:after="60"/>
      </w:pPr>
    </w:p>
    <w:p>
      <w:pPr>
        <w:pStyle w:val="MdParagraph"/>
      </w:pPr>
      <w:r>
        <w:t xml:space="preserve">Do not add broad whole-window scrolling to solve a local panel problem. The account pool must be the independently scrollable area; evidence date strips and chart axes have their own navigation. WPF mouse-wheel routing must be tested in the actual AddOn, not inferred from stubs.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Local validation procedure</w:t>
      </w:r>
    </w:p>
    <w:p>
      <w:pPr>
        <w:pStyle w:val="MdParagraph"/>
      </w:pPr>
      <w:r>
        <w:t xml:space="preserve">From </w:t>
      </w:r>
      <w:r>
        <w:rPr>
          <w:rStyle w:val="MdCode"/>
          <w:u w:val="single"/>
        </w:rPr>
        <w:t xml:space="preserve">/home/ubuntu/nexus-pro-local/mnq-mgc-testing-report</w:t>
      </w:r>
      <w:r>
        <w:t xml:space="preserve">:</w:t>
      </w:r>
    </w:p>
    <w:p>
      <w:pPr>
        <w:pStyle w:val="MdSpace"/>
        <w:spacing w:before="0" w:after="60"/>
      </w:pPr>
    </w:p>
    <w:p>
      <w:pPr>
        <w:pStyle w:val="MdListItem"/>
        <w:numPr>
          <w:ilvl w:val="0"/>
          <w:numId w:val="3"/>
        </w:numPr>
      </w:pPr>
      <w:r>
        <w:t xml:space="preserve">Run the static isolation validator:
</w:t>
      </w:r>
      <w:r>
        <w:rPr>
          <w:rStyle w:val="MdCode"/>
          <w:u w:val="single"/>
        </w:rPr>
        <w:t xml:space="preserve">python3 validate_keystone_arc_module.py</w:t>
      </w:r>
    </w:p>
    <w:p>
      <w:pPr>
        <w:pStyle w:val="MdListItem"/>
        <w:numPr>
          <w:ilvl w:val="0"/>
          <w:numId w:val="3"/>
        </w:numPr>
      </w:pPr>
      <w:r>
        <w:t xml:space="preserve">Compile C# 6 with stubs:
</w:t>
      </w:r>
      <w:r>
        <w:rPr>
          <w:rStyle w:val="MdCode"/>
          <w:u w:val="single"/>
        </w:rPr>
        <w:t xml:space="preserve">mcs -target:library -langversion:6 -r:System.Core -out:/tmp/KeyStone.dll ProNexusCompileStubs.cs AuroraN3AddOnCompileStubs.cs /home/ubuntu/upload/KeyStone.cs</w:t>
      </w:r>
    </w:p>
    <w:p>
      <w:pPr>
        <w:pStyle w:val="MdListItem"/>
        <w:numPr>
          <w:ilvl w:val="0"/>
          <w:numId w:val="3"/>
        </w:numPr>
      </w:pPr>
      <w:r>
        <w:t xml:space="preserve">Compile/run every </w:t>
      </w:r>
      <w:r>
        <w:rPr>
          <w:rStyle w:val="MdCode"/>
          <w:u w:val="single"/>
        </w:rPr>
        <w:t xml:space="preserve">*RegressionTest.cs</w:t>
      </w:r>
      <w:r>
        <w:t xml:space="preserve"> against </w:t>
      </w:r>
      <w:r>
        <w:rPr>
          <w:rStyle w:val="MdCode"/>
          <w:u w:val="single"/>
        </w:rPr>
        <w:t xml:space="preserve">/tmp/KeyStone.dll</w:t>
      </w:r>
      <w:r>
        <w:t xml:space="preserve">.</w:t>
      </w:r>
    </w:p>
    <w:p>
      <w:pPr>
        <w:pStyle w:val="MdListItem"/>
        <w:numPr>
          <w:ilvl w:val="0"/>
          <w:numId w:val="3"/>
        </w:numPr>
      </w:pPr>
      <w:r>
        <w:t xml:space="preserve">Copy active source to </w:t>
      </w:r>
      <w:r>
        <w:rPr>
          <w:rStyle w:val="MdCode"/>
          <w:u w:val="single"/>
        </w:rPr>
        <w:t xml:space="preserve">KeystoneArc5MResearchLab.cs</w:t>
      </w:r>
      <w:r>
        <w:t xml:space="preserve">.</w:t>
      </w:r>
    </w:p>
    <w:p>
      <w:pPr>
        <w:pStyle w:val="MdListItem"/>
        <w:numPr>
          <w:ilvl w:val="0"/>
          <w:numId w:val="3"/>
        </w:numPr>
      </w:pPr>
      <w:r>
        <w:t xml:space="preserve">Verify </w:t>
      </w:r>
      <w:r>
        <w:rPr>
          <w:rStyle w:val="MdCode"/>
          <w:u w:val="single"/>
        </w:rPr>
        <w:t xml:space="preserve">cmp -s</w:t>
      </w:r>
      <w:r>
        <w:t xml:space="preserve"> and </w:t>
      </w:r>
      <w:r>
        <w:rPr>
          <w:rStyle w:val="MdCode"/>
          <w:u w:val="single"/>
        </w:rPr>
        <w:t xml:space="preserve">sha256sum</w:t>
      </w:r>
      <w:r>
        <w:t xml:space="preserve">.</w:t>
      </w:r>
    </w:p>
    <w:p>
      <w:pPr>
        <w:pStyle w:val="MdSpace"/>
        <w:spacing w:before="0" w:after="60"/>
      </w:pPr>
    </w:p>
    <w:p>
      <w:pPr>
        <w:pStyle w:val="MdParagraph"/>
      </w:pPr>
      <w:r>
        <w:t xml:space="preserve">Important focused regressions include:</w:t>
      </w:r>
    </w:p>
    <w:p>
      <w:pPr>
        <w:pStyle w:val="MdSpace"/>
        <w:spacing w:before="0" w:after="60"/>
      </w:pPr>
    </w:p>
    <w:p>
      <w:pPr>
        <w:pStyle w:val="MdListItem"/>
        <w:numPr>
          <w:ilvl w:val="0"/>
          <w:numId w:val="2"/>
        </w:numPr>
      </w:pPr>
      <w:r>
        <w:t xml:space="preserve">source isolation;</w:t>
      </w:r>
    </w:p>
    <w:p>
      <w:pPr>
        <w:pStyle w:val="MdListItem"/>
        <w:numPr>
          <w:ilvl w:val="0"/>
          <w:numId w:val="2"/>
        </w:numPr>
      </w:pPr>
      <w:r>
        <w:t xml:space="preserve">pool dashboard layout/default tab/scroll model;</w:t>
      </w:r>
    </w:p>
    <w:p>
      <w:pPr>
        <w:pStyle w:val="MdListItem"/>
        <w:numPr>
          <w:ilvl w:val="0"/>
          <w:numId w:val="2"/>
        </w:numPr>
      </w:pPr>
      <w:r>
        <w:t xml:space="preserve">historical contract rollover and MGC partial-range recovery;</w:t>
      </w:r>
    </w:p>
    <w:p>
      <w:pPr>
        <w:pStyle w:val="MdListItem"/>
        <w:numPr>
          <w:ilvl w:val="0"/>
          <w:numId w:val="2"/>
        </w:numPr>
      </w:pPr>
      <w:r>
        <w:t xml:space="preserve">open one-minute setup aggregation;</w:t>
      </w:r>
    </w:p>
    <w:p>
      <w:pPr>
        <w:pStyle w:val="MdListItem"/>
        <w:numPr>
          <w:ilvl w:val="0"/>
          <w:numId w:val="2"/>
        </w:numPr>
      </w:pPr>
      <w:r>
        <w:t xml:space="preserve">visual chart history discovery;</w:t>
      </w:r>
    </w:p>
    <w:p>
      <w:pPr>
        <w:pStyle w:val="MdListItem"/>
        <w:numPr>
          <w:ilvl w:val="0"/>
          <w:numId w:val="2"/>
        </w:numPr>
      </w:pPr>
      <w:r>
        <w:t xml:space="preserve">firm-funded capacity;</w:t>
      </w:r>
    </w:p>
    <w:p>
      <w:pPr>
        <w:pStyle w:val="MdListItem"/>
        <w:numPr>
          <w:ilvl w:val="0"/>
          <w:numId w:val="2"/>
        </w:numPr>
      </w:pPr>
      <w:r>
        <w:t xml:space="preserve">replenishment milestones;</w:t>
      </w:r>
    </w:p>
    <w:p>
      <w:pPr>
        <w:pStyle w:val="MdListItem"/>
        <w:numPr>
          <w:ilvl w:val="0"/>
          <w:numId w:val="2"/>
        </w:numPr>
      </w:pPr>
      <w:r>
        <w:t xml:space="preserve">evaluation-stage capital gate;</w:t>
      </w:r>
    </w:p>
    <w:p>
      <w:pPr>
        <w:pStyle w:val="MdListItem"/>
        <w:numPr>
          <w:ilvl w:val="0"/>
          <w:numId w:val="2"/>
        </w:numPr>
      </w:pPr>
      <w:r>
        <w:t xml:space="preserve">copy-pool synchronization and next-session cohort restart;</w:t>
      </w:r>
    </w:p>
    <w:p>
      <w:pPr>
        <w:pStyle w:val="MdListItem"/>
        <w:numPr>
          <w:ilvl w:val="0"/>
          <w:numId w:val="2"/>
        </w:numPr>
      </w:pPr>
      <w:r>
        <w:t xml:space="preserve">one-day locks and multiple-setups-per-day behavior;</w:t>
      </w:r>
    </w:p>
    <w:p>
      <w:pPr>
        <w:pStyle w:val="MdListItem"/>
        <w:numPr>
          <w:ilvl w:val="0"/>
          <w:numId w:val="2"/>
        </w:numPr>
      </w:pPr>
      <w:r>
        <w:t xml:space="preserve">Asian readiness, exact opening, reversal prototype, and zero-cycle diagnostics.</w:t>
      </w:r>
    </w:p>
    <w:p>
      <w:pPr>
        <w:pStyle w:val="MdSpace"/>
        <w:spacing w:before="0" w:after="60"/>
      </w:pPr>
    </w:p>
    <w:p>
      <w:pPr>
        <w:pStyle w:val="MdParagraph"/>
      </w:pPr>
      <w:r>
        <w:t xml:space="preserve">Local green tests mean “the stubs and model invariants passed,” not “the user’s provider returned complete history.”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Current known issues and honest status</w:t>
      </w:r>
    </w:p>
    <w:p>
      <w:pPr>
        <w:pStyle w:val="Heading3"/>
        <w:pStyle w:val="MdHeading3"/>
      </w:pPr>
      <w:r>
        <w:t xml:space="preserve">Confirmed/protected</w:t>
      </w:r>
    </w:p>
    <w:p>
      <w:pPr>
        <w:pStyle w:val="MdListItem"/>
        <w:numPr>
          <w:ilvl w:val="0"/>
          <w:numId w:val="2"/>
        </w:numPr>
      </w:pPr>
      <w:r>
        <w:t xml:space="preserve">BH long-only rule is defined and isolated.</w:t>
      </w:r>
    </w:p>
    <w:p>
      <w:pPr>
        <w:pStyle w:val="MdListItem"/>
        <w:numPr>
          <w:ilvl w:val="0"/>
          <w:numId w:val="2"/>
        </w:numPr>
      </w:pPr>
      <w:r>
        <w:t xml:space="preserve">MNQ BH history is user-reported working across approximately 2020–2026.</w:t>
      </w:r>
    </w:p>
    <w:p>
      <w:pPr>
        <w:pStyle w:val="MdListItem"/>
        <w:numPr>
          <w:ilvl w:val="0"/>
          <w:numId w:val="2"/>
        </w:numPr>
      </w:pPr>
      <w:r>
        <w:t xml:space="preserve">One-minute outcome safety gate exists.</w:t>
      </w:r>
    </w:p>
    <w:p>
      <w:pPr>
        <w:pStyle w:val="MdListItem"/>
        <w:numPr>
          <w:ilvl w:val="0"/>
          <w:numId w:val="2"/>
        </w:numPr>
      </w:pPr>
      <w:r>
        <w:t xml:space="preserve">Reset/reload state clearing and failed-request retry behavior have been addressed in source.</w:t>
      </w:r>
    </w:p>
    <w:p>
      <w:pPr>
        <w:pStyle w:val="MdListItem"/>
        <w:numPr>
          <w:ilvl w:val="0"/>
          <w:numId w:val="2"/>
        </w:numPr>
      </w:pPr>
      <w:r>
        <w:t xml:space="preserve">Virtual evaluation/funded/payout/replacement/bench/firm-cap structures exist.</w:t>
      </w:r>
    </w:p>
    <w:p>
      <w:pPr>
        <w:pStyle w:val="MdListItem"/>
        <w:numPr>
          <w:ilvl w:val="0"/>
          <w:numId w:val="2"/>
        </w:numPr>
      </w:pPr>
      <w:r>
        <w:t xml:space="preserve">Copy mode and multiple-setups-per-day option exist in source and have local regression coverage.</w:t>
      </w:r>
    </w:p>
    <w:p>
      <w:pPr>
        <w:pStyle w:val="MdListItem"/>
        <w:numPr>
          <w:ilvl w:val="0"/>
          <w:numId w:val="2"/>
        </w:numPr>
      </w:pPr>
      <w:r>
        <w:t xml:space="preserve">Daily lifecycle audit fields and milestone dates exist.</w:t>
      </w:r>
    </w:p>
    <w:p>
      <w:pPr>
        <w:pStyle w:val="MdListItem"/>
        <w:numPr>
          <w:ilvl w:val="0"/>
          <w:numId w:val="2"/>
        </w:numPr>
      </w:pPr>
      <w:r>
        <w:t xml:space="preserve">HTML and CSV evidence architecture exists.</w:t>
      </w:r>
    </w:p>
    <w:p>
      <w:pPr>
        <w:pStyle w:val="MdSpace"/>
        <w:spacing w:before="0" w:after="60"/>
      </w:pPr>
    </w:p>
    <w:p>
      <w:pPr>
        <w:pStyle w:val="Heading3"/>
        <w:pStyle w:val="MdHeading3"/>
      </w:pPr>
      <w:r>
        <w:t xml:space="preserve">Needs real NinjaTrader proof</w:t>
      </w:r>
    </w:p>
    <w:p>
      <w:pPr>
        <w:pStyle w:val="MdListItem"/>
        <w:numPr>
          <w:ilvl w:val="0"/>
          <w:numId w:val="2"/>
        </w:numPr>
      </w:pPr>
      <w:r>
        <w:t xml:space="preserve">MGC multi-year full-range loading, especially 2020–2021 and other older ranges after partial-fragment recovery.</w:t>
      </w:r>
    </w:p>
    <w:p>
      <w:pPr>
        <w:pStyle w:val="MdListItem"/>
        <w:numPr>
          <w:ilvl w:val="0"/>
          <w:numId w:val="2"/>
        </w:numPr>
      </w:pPr>
      <w:r>
        <w:t xml:space="preserve">BOTH instrument loading on the same run.</w:t>
      </w:r>
    </w:p>
    <w:p>
      <w:pPr>
        <w:pStyle w:val="MdListItem"/>
        <w:numPr>
          <w:ilvl w:val="0"/>
          <w:numId w:val="2"/>
        </w:numPr>
      </w:pPr>
      <w:r>
        <w:t xml:space="preserve">Exact provider/session timestamp behavior for all date modes, especially Full Globex and custom.</w:t>
      </w:r>
    </w:p>
    <w:p>
      <w:pPr>
        <w:pStyle w:val="MdListItem"/>
        <w:numPr>
          <w:ilvl w:val="0"/>
          <w:numId w:val="2"/>
        </w:numPr>
      </w:pPr>
      <w:r>
        <w:t xml:space="preserve">Runtime pool scroll and all result-tab layout behavior.</w:t>
      </w:r>
    </w:p>
    <w:p>
      <w:pPr>
        <w:pStyle w:val="MdListItem"/>
        <w:numPr>
          <w:ilvl w:val="0"/>
          <w:numId w:val="2"/>
        </w:numPr>
      </w:pPr>
      <w:r>
        <w:t xml:space="preserve">Runtime persistence/reset after completed and failed runs.</w:t>
      </w:r>
    </w:p>
    <w:p>
      <w:pPr>
        <w:pStyle w:val="MdListItem"/>
        <w:numPr>
          <w:ilvl w:val="0"/>
          <w:numId w:val="2"/>
        </w:numPr>
      </w:pPr>
      <w:r>
        <w:t xml:space="preserve">Runtime Asian cycle output and copy lifecycle.</w:t>
      </w:r>
    </w:p>
    <w:p>
      <w:pPr>
        <w:pStyle w:val="MdSpace"/>
        <w:spacing w:before="0" w:after="60"/>
      </w:pPr>
    </w:p>
    <w:p>
      <w:pPr>
        <w:pStyle w:val="Heading3"/>
        <w:pStyle w:val="MdHeading3"/>
      </w:pPr>
      <w:r>
        <w:t xml:space="preserve">Explicitly unresolved</w:t>
      </w:r>
    </w:p>
    <w:p>
      <w:pPr>
        <w:pStyle w:val="MdListItem"/>
        <w:numPr>
          <w:ilvl w:val="0"/>
          <w:numId w:val="2"/>
        </w:numPr>
      </w:pPr>
      <w:r>
        <w:t xml:space="preserve">Asian 75 zero-cycle behavior has not been conclusively explained or proven fixed.</w:t>
      </w:r>
    </w:p>
    <w:p>
      <w:pPr>
        <w:pStyle w:val="MdListItem"/>
        <w:numPr>
          <w:ilvl w:val="0"/>
          <w:numId w:val="2"/>
        </w:numPr>
      </w:pPr>
      <w:r>
        <w:t xml:space="preserve">Do not claim Asian targets/reversal legs/copy payouts are correct until a runtime receipt shows at least one known cycle with the expected initial entry, reversal(s), exit reason, and combined P/L.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Required runtime test matrix for takeover</w:t>
      </w:r>
    </w:p>
    <w:p>
      <w:pPr>
        <w:pStyle w:val="Heading3"/>
        <w:pStyle w:val="MdHeading3"/>
      </w:pPr>
      <w:r>
        <w:t xml:space="preserve">Loader, without changing BH</w:t>
      </w:r>
    </w:p>
    <w:p>
      <w:pPr>
        <w:pStyle w:val="MdListItem"/>
        <w:numPr>
          <w:ilvl w:val="0"/>
          <w:numId w:val="3"/>
        </w:numPr>
      </w:pPr>
      <w:r>
        <w:t xml:space="preserve">MNQ BH, one day, NY Open, 5M.</w:t>
      </w:r>
    </w:p>
    <w:p>
      <w:pPr>
        <w:pStyle w:val="MdListItem"/>
        <w:numPr>
          <w:ilvl w:val="0"/>
          <w:numId w:val="3"/>
        </w:numPr>
      </w:pPr>
      <w:r>
        <w:t xml:space="preserve">MNQ BH, one day, Full Globex, 5M.</w:t>
      </w:r>
    </w:p>
    <w:p>
      <w:pPr>
        <w:pStyle w:val="MdListItem"/>
        <w:numPr>
          <w:ilvl w:val="0"/>
          <w:numId w:val="3"/>
        </w:numPr>
      </w:pPr>
      <w:r>
        <w:t xml:space="preserve">MNQ BH, multi-year range known to work, 5M.</w:t>
      </w:r>
    </w:p>
    <w:p>
      <w:pPr>
        <w:pStyle w:val="MdListItem"/>
        <w:numPr>
          <w:ilvl w:val="0"/>
          <w:numId w:val="3"/>
        </w:numPr>
      </w:pPr>
      <w:r>
        <w:t xml:space="preserve">MGC BH, one day, Full Globex, 5M.</w:t>
      </w:r>
    </w:p>
    <w:p>
      <w:pPr>
        <w:pStyle w:val="MdListItem"/>
        <w:numPr>
          <w:ilvl w:val="0"/>
          <w:numId w:val="3"/>
        </w:numPr>
      </w:pPr>
      <w:r>
        <w:t xml:space="preserve">MGC BH, 2020–2021 range that previously returned one month only.</w:t>
      </w:r>
    </w:p>
    <w:p>
      <w:pPr>
        <w:pStyle w:val="MdListItem"/>
        <w:numPr>
          <w:ilvl w:val="0"/>
          <w:numId w:val="3"/>
        </w:numPr>
      </w:pPr>
      <w:r>
        <w:t xml:space="preserve">BOTH BH, same controlled range.</w:t>
      </w:r>
    </w:p>
    <w:p>
      <w:pPr>
        <w:pStyle w:val="MdListItem"/>
        <w:numPr>
          <w:ilvl w:val="0"/>
          <w:numId w:val="3"/>
        </w:numPr>
      </w:pPr>
      <w:r>
        <w:t xml:space="preserve">After a successful run, change dates and reload.</w:t>
      </w:r>
    </w:p>
    <w:p>
      <w:pPr>
        <w:pStyle w:val="MdListItem"/>
        <w:numPr>
          <w:ilvl w:val="0"/>
          <w:numId w:val="3"/>
        </w:numPr>
      </w:pPr>
      <w:r>
        <w:t xml:space="preserve">Force a failed/insufficient receipt, correct configuration, retry without NEW TEST.</w:t>
      </w:r>
    </w:p>
    <w:p>
      <w:pPr>
        <w:pStyle w:val="MdSpace"/>
        <w:spacing w:before="0" w:after="60"/>
      </w:pPr>
    </w:p>
    <w:p>
      <w:pPr>
        <w:pStyle w:val="MdParagraph"/>
      </w:pPr>
      <w:r>
        <w:t xml:space="preserve">For every test save the complete diagnostics, resolved contract, first/last timestamps, bar counts, setup count, outcome validation, and whether the result is eligible for pool math.</w:t>
      </w:r>
    </w:p>
    <w:p>
      <w:pPr>
        <w:pStyle w:val="MdSpace"/>
        <w:spacing w:before="0" w:after="60"/>
      </w:pPr>
    </w:p>
    <w:p>
      <w:pPr>
        <w:pStyle w:val="Heading3"/>
        <w:pStyle w:val="MdHeading3"/>
      </w:pPr>
      <w:r>
        <w:t xml:space="preserve">Asian diagnostic matrix</w:t>
      </w:r>
    </w:p>
    <w:p>
      <w:pPr>
        <w:pStyle w:val="MdListItem"/>
        <w:numPr>
          <w:ilvl w:val="0"/>
          <w:numId w:val="3"/>
        </w:numPr>
      </w:pPr>
      <w:r>
        <w:t xml:space="preserve">MNQ only, one known date, exact 18:00–15:55, one-minute.</w:t>
      </w:r>
    </w:p>
    <w:p>
      <w:pPr>
        <w:pStyle w:val="MdListItem"/>
        <w:numPr>
          <w:ilvl w:val="0"/>
          <w:numId w:val="3"/>
        </w:numPr>
      </w:pPr>
      <w:r>
        <w:t xml:space="preserve">MGC only, same date and times.</w:t>
      </w:r>
    </w:p>
    <w:p>
      <w:pPr>
        <w:pStyle w:val="MdListItem"/>
        <w:numPr>
          <w:ilvl w:val="0"/>
          <w:numId w:val="3"/>
        </w:numPr>
      </w:pPr>
      <w:r>
        <w:t xml:space="preserve">BOTH, same date and times.</w:t>
      </w:r>
    </w:p>
    <w:p>
      <w:pPr>
        <w:pStyle w:val="MdListItem"/>
        <w:numPr>
          <w:ilvl w:val="0"/>
          <w:numId w:val="3"/>
        </w:numPr>
      </w:pPr>
      <w:r>
        <w:t xml:space="preserve">Known synthetic/saved bars where the first loss threshold is guaranteed.</w:t>
      </w:r>
    </w:p>
    <w:p>
      <w:pPr>
        <w:pStyle w:val="MdListItem"/>
        <w:numPr>
          <w:ilvl w:val="0"/>
          <w:numId w:val="3"/>
        </w:numPr>
      </w:pPr>
      <w:r>
        <w:t xml:space="preserve">Confirm initial position event, reversal event, quantity increment, combined target close, combined loss close, max-leg close, and session-end close.</w:t>
      </w:r>
    </w:p>
    <w:p>
      <w:pPr>
        <w:pStyle w:val="MdListItem"/>
        <w:numPr>
          <w:ilvl w:val="0"/>
          <w:numId w:val="3"/>
        </w:numPr>
      </w:pPr>
      <w:r>
        <w:t xml:space="preserve">Only after this works, run copy pool and verify synchronized daily audit and next-session replacement.</w:t>
      </w:r>
    </w:p>
    <w:p>
      <w:pPr>
        <w:pStyle w:val="MdSpace"/>
        <w:spacing w:before="0" w:after="60"/>
      </w:pPr>
    </w:p>
    <w:p>
      <w:pPr>
        <w:pStyle w:val="Heading3"/>
        <w:pStyle w:val="MdHeading3"/>
      </w:pPr>
      <w:r>
        <w:t xml:space="preserve">Lifecycle matrix</w:t>
      </w:r>
    </w:p>
    <w:p>
      <w:pPr>
        <w:pStyle w:val="MdListItem"/>
        <w:numPr>
          <w:ilvl w:val="0"/>
          <w:numId w:val="2"/>
        </w:numPr>
      </w:pPr>
      <w:r>
        <w:t xml:space="preserve">one account;</w:t>
      </w:r>
    </w:p>
    <w:p>
      <w:pPr>
        <w:pStyle w:val="MdListItem"/>
        <w:numPr>
          <w:ilvl w:val="0"/>
          <w:numId w:val="2"/>
        </w:numPr>
      </w:pPr>
      <w:r>
        <w:t xml:space="preserve">one-day rotating with default one setup/day;</w:t>
      </w:r>
    </w:p>
    <w:p>
      <w:pPr>
        <w:pStyle w:val="MdListItem"/>
        <w:numPr>
          <w:ilvl w:val="0"/>
          <w:numId w:val="2"/>
        </w:numPr>
      </w:pPr>
      <w:r>
        <w:t xml:space="preserve">one-day rotating with multiple setups/day;</w:t>
      </w:r>
    </w:p>
    <w:p>
      <w:pPr>
        <w:pStyle w:val="MdListItem"/>
        <w:numPr>
          <w:ilvl w:val="0"/>
          <w:numId w:val="2"/>
        </w:numPr>
      </w:pPr>
      <w:r>
        <w:t xml:space="preserve">multi-day evaluation-first;</w:t>
      </w:r>
    </w:p>
    <w:p>
      <w:pPr>
        <w:pStyle w:val="MdListItem"/>
        <w:numPr>
          <w:ilvl w:val="0"/>
          <w:numId w:val="2"/>
        </w:numPr>
      </w:pPr>
      <w:r>
        <w:t xml:space="preserve">direct funded blowout with no replacement;</w:t>
      </w:r>
    </w:p>
    <w:p>
      <w:pPr>
        <w:pStyle w:val="MdListItem"/>
        <w:numPr>
          <w:ilvl w:val="0"/>
          <w:numId w:val="2"/>
        </w:numPr>
      </w:pPr>
      <w:r>
        <w:t xml:space="preserve">continuous replacement after blowout;</w:t>
      </w:r>
    </w:p>
    <w:p>
      <w:pPr>
        <w:pStyle w:val="MdListItem"/>
        <w:numPr>
          <w:ilvl w:val="0"/>
          <w:numId w:val="2"/>
        </w:numPr>
      </w:pPr>
      <w:r>
        <w:t xml:space="preserve">payout-funded bench;</w:t>
      </w:r>
    </w:p>
    <w:p>
      <w:pPr>
        <w:pStyle w:val="MdListItem"/>
        <w:numPr>
          <w:ilvl w:val="0"/>
          <w:numId w:val="2"/>
        </w:numPr>
      </w:pPr>
      <w:r>
        <w:t xml:space="preserve">firm cap with 10 eval/5 funded;</w:t>
      </w:r>
    </w:p>
    <w:p>
      <w:pPr>
        <w:pStyle w:val="MdListItem"/>
        <w:numPr>
          <w:ilvl w:val="0"/>
          <w:numId w:val="2"/>
        </w:numPr>
      </w:pPr>
      <w:r>
        <w:t xml:space="preserve">copy pool with synchronized pass/blowout and restart.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17. Safe takeover checklist</w:t>
      </w:r>
    </w:p>
    <w:p>
      <w:pPr>
        <w:pStyle w:val="MdParagraph"/>
      </w:pPr>
      <w:r>
        <w:t xml:space="preserve">Before changing code:</w:t>
      </w:r>
    </w:p>
    <w:p>
      <w:pPr>
        <w:pStyle w:val="MdSpace"/>
        <w:spacing w:before="0" w:after="60"/>
      </w:pPr>
    </w:p>
    <w:p>
      <w:pPr>
        <w:pStyle w:val="MdListItem"/>
        <w:numPr>
          <w:ilvl w:val="0"/>
          <w:numId w:val="3"/>
        </w:numPr>
      </w:pPr>
      <w:r>
        <w:t xml:space="preserve">Read this document and the current </w:t>
      </w:r>
      <w:r>
        <w:rPr>
          <w:rStyle w:val="MdCode"/>
          <w:u w:val="single"/>
        </w:rPr>
        <w:t xml:space="preserve">KeyStone.cs</w:t>
      </w:r>
      <w:r>
        <w:t xml:space="preserve">.</w:t>
      </w:r>
    </w:p>
    <w:p>
      <w:pPr>
        <w:pStyle w:val="MdListItem"/>
        <w:numPr>
          <w:ilvl w:val="0"/>
          <w:numId w:val="3"/>
        </w:numPr>
      </w:pPr>
      <w:r>
        <w:t xml:space="preserve">Confirm source/mirror identity and current SHA.</w:t>
      </w:r>
    </w:p>
    <w:p>
      <w:pPr>
        <w:pStyle w:val="MdListItem"/>
        <w:numPr>
          <w:ilvl w:val="0"/>
          <w:numId w:val="3"/>
        </w:numPr>
      </w:pPr>
      <w:r>
        <w:t xml:space="preserve">Create a timestamped backup.</w:t>
      </w:r>
    </w:p>
    <w:p>
      <w:pPr>
        <w:pStyle w:val="MdListItem"/>
        <w:numPr>
          <w:ilvl w:val="0"/>
          <w:numId w:val="3"/>
        </w:numPr>
      </w:pPr>
      <w:r>
        <w:t xml:space="preserve">Decide whether the change is loader, strategy, lifecycle, UI, or reporting.</w:t>
      </w:r>
    </w:p>
    <w:p>
      <w:pPr>
        <w:pStyle w:val="MdListItem"/>
        <w:numPr>
          <w:ilvl w:val="0"/>
          <w:numId w:val="3"/>
        </w:numPr>
      </w:pPr>
      <w:r>
        <w:t xml:space="preserve">If UI/Asian work, do not touch BH loader methods.</w:t>
      </w:r>
    </w:p>
    <w:p>
      <w:pPr>
        <w:pStyle w:val="MdListItem"/>
        <w:numPr>
          <w:ilvl w:val="0"/>
          <w:numId w:val="3"/>
        </w:numPr>
      </w:pPr>
      <w:r>
        <w:t xml:space="preserve">Add or update a focused regression before broad refactoring.</w:t>
      </w:r>
    </w:p>
    <w:p>
      <w:pPr>
        <w:pStyle w:val="MdListItem"/>
        <w:numPr>
          <w:ilvl w:val="0"/>
          <w:numId w:val="3"/>
        </w:numPr>
      </w:pPr>
      <w:r>
        <w:t xml:space="preserve">Make the smallest isolated edit.</w:t>
      </w:r>
    </w:p>
    <w:p>
      <w:pPr>
        <w:pStyle w:val="MdListItem"/>
        <w:numPr>
          <w:ilvl w:val="0"/>
          <w:numId w:val="3"/>
        </w:numPr>
      </w:pPr>
      <w:r>
        <w:t xml:space="preserve">Run validator, compile, focused tests, then the full suite.</w:t>
      </w:r>
    </w:p>
    <w:p>
      <w:pPr>
        <w:pStyle w:val="MdListItem"/>
        <w:numPr>
          <w:ilvl w:val="0"/>
          <w:numId w:val="3"/>
        </w:numPr>
      </w:pPr>
      <w:r>
        <w:t xml:space="preserve">Synchronize mirror and verify byte identity.</w:t>
      </w:r>
    </w:p>
    <w:p>
      <w:pPr>
        <w:pStyle w:val="MdListItem"/>
        <w:numPr>
          <w:ilvl w:val="0"/>
          <w:numId w:val="3"/>
        </w:numPr>
      </w:pPr>
      <w:r>
        <w:t xml:space="preserve">Report local validation separately from runtime proof.</w:t>
      </w:r>
    </w:p>
    <w:p>
      <w:pPr>
        <w:pStyle w:val="MdListItem"/>
        <w:numPr>
          <w:ilvl w:val="0"/>
          <w:numId w:val="3"/>
        </w:numPr>
      </w:pPr>
      <w:r>
        <w:t xml:space="preserve">Ask for runtime receipts only when the user’s NinjaTrader/provider state is required.</w:t>
      </w:r>
    </w:p>
    <w:p>
      <w:pPr>
        <w:pStyle w:val="MdSpace"/>
        <w:spacing w:before="0" w:after="60"/>
      </w:pPr>
    </w:p>
    <w:p>
      <w:pPr>
        <w:pStyle w:val="MdParagraph"/>
      </w:pPr>
      <w:r>
        <w:t xml:space="preserve">Never “fix” a zero result by relaxing the one-minute gate, accepting partial MGC coverage, changing session dates silently, or treating a chart fragment as a full range. Never solve Asian uncertainty by modifying the protected BH loader.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18. Final developer summary</w:t>
      </w:r>
    </w:p>
    <w:p>
      <w:pPr>
        <w:pStyle w:val="MdParagraph"/>
      </w:pPr>
      <w:r>
        <w:t xml:space="preserve">Keystone is not a live trading system. It is a historical evidence and virtual lifecycle laboratory. Its credibility depends on three separations:</w:t>
      </w:r>
    </w:p>
    <w:p>
      <w:pPr>
        <w:pStyle w:val="MdSpace"/>
        <w:spacing w:before="0" w:after="60"/>
      </w:pPr>
    </w:p>
    <w:p>
      <w:pPr>
        <w:pStyle w:val="MdListItem"/>
        <w:numPr>
          <w:ilvl w:val="0"/>
          <w:numId w:val="3"/>
        </w:numPr>
      </w:pPr>
      <w:r>
        <w:rPr>
          <w:rStyle w:val="MdStrong"/>
          <w:b/>
          <w:bCs/>
        </w:rPr>
        <w:t xml:space="preserve">data truth:</w:t>
      </w:r>
      <w:r>
        <w:t xml:space="preserve"> exact chart/BarsRequest history, explicit coverage, exact time/session grouping, strict one-minute reconciliation;</w:t>
      </w:r>
    </w:p>
    <w:p>
      <w:pPr>
        <w:pStyle w:val="MdListItem"/>
        <w:numPr>
          <w:ilvl w:val="0"/>
          <w:numId w:val="3"/>
        </w:numPr>
      </w:pPr>
      <w:r>
        <w:rPr>
          <w:rStyle w:val="MdStrong"/>
          <w:b/>
          <w:bCs/>
        </w:rPr>
        <w:t xml:space="preserve">strategy truth:</w:t>
      </w:r>
      <w:r>
        <w:t xml:space="preserve"> BH detects Break-High events; Asian simulates a timed reversal cycle; neither may be described using the other’s logic;</w:t>
      </w:r>
    </w:p>
    <w:p>
      <w:pPr>
        <w:pStyle w:val="MdListItem"/>
        <w:numPr>
          <w:ilvl w:val="0"/>
          <w:numId w:val="3"/>
        </w:numPr>
      </w:pPr>
      <w:r>
        <w:rPr>
          <w:rStyle w:val="MdStrong"/>
          <w:b/>
          <w:bCs/>
        </w:rPr>
        <w:t xml:space="preserve">account truth:</w:t>
      </w:r>
      <w:r>
        <w:t xml:space="preserve"> raw setup/cycle results, rotating assignment, copy allocation, evaluation/funded state, payouts, costs, replacements, and net cash are distinct layers.</w:t>
      </w:r>
    </w:p>
    <w:p>
      <w:pPr>
        <w:pStyle w:val="MdSpace"/>
        <w:spacing w:before="0" w:after="60"/>
      </w:pPr>
    </w:p>
    <w:p>
      <w:pPr>
        <w:pStyle w:val="MdParagraph"/>
      </w:pPr>
      <w:r>
        <w:t xml:space="preserve">The most important operational rule is to preserve the working BH loader while isolating Asian development. The most important reporting rule is to show gross, after-share, cost, and full net as separate values. The most important engineering rule is to distinguish local stub validation from runtime provider proof. The most important unresolved task is to diagnose Asian’s zero-cycle behavior with a narrow, instrument-by-instrument one-minute runtime receipt rather than making another broad change.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2026-09-25T15:17:41.530Z</dcterms:created>
  <dcterms:modified xsi:type="dcterms:W3CDTF">2026-09-25T15:17:41.530Z</dcterms:modified>
</cp:coreProperties>
</file>

<file path=docProps/custom.xml><?xml version="1.0" encoding="utf-8"?>
<Properties xmlns="http://schemas.openxmlformats.org/officeDocument/2006/custom-properties" xmlns:vt="http://schemas.openxmlformats.org/officeDocument/2006/docPropsVTypes"/>
</file>