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869F7E" w14:textId="3FA58782" w:rsidR="00810DA7" w:rsidRDefault="00810DA7"/>
    <w:p w14:paraId="4C4C52A7" w14:textId="270BB500" w:rsidR="00A6507E" w:rsidRDefault="00A6507E"/>
    <w:p w14:paraId="072B7CCC" w14:textId="2A5F4FA3" w:rsidR="00A6507E" w:rsidRDefault="00A6507E"/>
    <w:p w14:paraId="3BAC283E" w14:textId="0271EC5F" w:rsidR="00A6507E" w:rsidRDefault="008873F9">
      <w:pPr>
        <w:rPr>
          <w:lang w:val="en-US"/>
        </w:rPr>
      </w:pPr>
      <w:r>
        <w:rPr>
          <w:lang w:val="en-US"/>
        </w:rPr>
        <w:t xml:space="preserve">Calculating weight for the analysis of a TB patient cost survey </w:t>
      </w:r>
    </w:p>
    <w:p w14:paraId="0431BFFE" w14:textId="77777777" w:rsidR="00A6507E" w:rsidRDefault="00A6507E">
      <w:pPr>
        <w:rPr>
          <w:lang w:val="en-US"/>
        </w:rPr>
      </w:pPr>
    </w:p>
    <w:p w14:paraId="1361BDCB" w14:textId="1611877C" w:rsidR="003A378D" w:rsidRDefault="003A378D" w:rsidP="003A378D">
      <w:pPr>
        <w:pStyle w:val="ListParagraph"/>
        <w:numPr>
          <w:ilvl w:val="0"/>
          <w:numId w:val="2"/>
        </w:numPr>
        <w:rPr>
          <w:lang w:val="en-US"/>
        </w:rPr>
      </w:pPr>
      <w:r>
        <w:rPr>
          <w:lang w:val="en-US"/>
        </w:rPr>
        <w:t xml:space="preserve">Non-stratified sample </w:t>
      </w:r>
    </w:p>
    <w:p w14:paraId="3987643B" w14:textId="77777777" w:rsidR="003A378D" w:rsidRPr="003A378D" w:rsidRDefault="003A378D" w:rsidP="003A378D">
      <w:pPr>
        <w:pStyle w:val="ListParagraph"/>
        <w:rPr>
          <w:lang w:val="en-US"/>
        </w:rPr>
      </w:pPr>
    </w:p>
    <w:p w14:paraId="503808CB" w14:textId="5550AF4B" w:rsidR="00A6507E" w:rsidRDefault="00A6507E" w:rsidP="003A378D">
      <w:pPr>
        <w:pStyle w:val="ListParagraph"/>
        <w:numPr>
          <w:ilvl w:val="1"/>
          <w:numId w:val="2"/>
        </w:numPr>
        <w:rPr>
          <w:lang w:val="en-US"/>
        </w:rPr>
      </w:pPr>
      <w:r>
        <w:rPr>
          <w:lang w:val="en-US"/>
        </w:rPr>
        <w:t xml:space="preserve">Base weight for a </w:t>
      </w:r>
      <w:r w:rsidR="003A378D">
        <w:rPr>
          <w:lang w:val="en-US"/>
        </w:rPr>
        <w:t xml:space="preserve">non-stratified </w:t>
      </w:r>
      <w:r>
        <w:rPr>
          <w:lang w:val="en-US"/>
        </w:rPr>
        <w:t xml:space="preserve">sample </w:t>
      </w:r>
    </w:p>
    <w:p w14:paraId="4A483612" w14:textId="77777777" w:rsidR="00A6507E" w:rsidRDefault="00A6507E" w:rsidP="00A6507E">
      <w:pPr>
        <w:rPr>
          <w:lang w:val="en-US"/>
        </w:rPr>
      </w:pPr>
    </w:p>
    <w:p w14:paraId="3753987C" w14:textId="37164A2F" w:rsidR="00A6507E" w:rsidRDefault="00A6507E" w:rsidP="00A6507E">
      <w:pPr>
        <w:ind w:left="720"/>
        <w:rPr>
          <w:lang w:val="en-US"/>
        </w:rPr>
      </w:pPr>
      <w:r>
        <w:rPr>
          <w:lang w:val="en-US"/>
        </w:rPr>
        <w:t xml:space="preserve">Weight is defined as an inverse of sampling probability. </w:t>
      </w:r>
    </w:p>
    <w:p w14:paraId="257EFC87" w14:textId="33016E3C" w:rsidR="00A6507E" w:rsidRDefault="00A6507E" w:rsidP="00A6507E">
      <w:pPr>
        <w:ind w:left="720"/>
        <w:rPr>
          <w:lang w:val="en-US"/>
        </w:rPr>
      </w:pPr>
      <w:r>
        <w:rPr>
          <w:lang w:val="en-US"/>
        </w:rPr>
        <w:t xml:space="preserve">For observations selected by non-stratified, single-stage cluster sampling method, a sampling probability of an individual observation is calculated as </w:t>
      </w:r>
      <w:r w:rsidR="003B3C32">
        <w:rPr>
          <w:lang w:val="en-US"/>
        </w:rPr>
        <w:t>follows</w:t>
      </w:r>
      <w:r>
        <w:rPr>
          <w:lang w:val="en-US"/>
        </w:rPr>
        <w:t xml:space="preserve">. </w:t>
      </w:r>
    </w:p>
    <w:p w14:paraId="57F5FB10" w14:textId="213BB191" w:rsidR="00A6507E" w:rsidRDefault="00A6507E" w:rsidP="00A6507E">
      <w:pPr>
        <w:ind w:left="720"/>
        <w:rPr>
          <w:lang w:val="en-US"/>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8"/>
        <w:gridCol w:w="402"/>
        <w:gridCol w:w="1578"/>
        <w:gridCol w:w="359"/>
        <w:gridCol w:w="1604"/>
        <w:gridCol w:w="359"/>
        <w:gridCol w:w="1252"/>
        <w:gridCol w:w="366"/>
        <w:gridCol w:w="1622"/>
      </w:tblGrid>
      <w:tr w:rsidR="00F103A0" w:rsidRPr="00A6507E" w14:paraId="5403EDC8" w14:textId="5A383191" w:rsidTr="00FE56E0">
        <w:tc>
          <w:tcPr>
            <w:tcW w:w="1098" w:type="dxa"/>
          </w:tcPr>
          <w:p w14:paraId="638F68A0" w14:textId="77777777" w:rsidR="00F103A0" w:rsidRPr="00A6507E" w:rsidRDefault="00F103A0" w:rsidP="00AE5291">
            <w:pPr>
              <w:jc w:val="center"/>
              <w:rPr>
                <w:sz w:val="20"/>
                <w:szCs w:val="20"/>
                <w:lang w:val="en-US"/>
              </w:rPr>
            </w:pPr>
          </w:p>
        </w:tc>
        <w:tc>
          <w:tcPr>
            <w:tcW w:w="402" w:type="dxa"/>
          </w:tcPr>
          <w:p w14:paraId="0FADA1E3" w14:textId="77777777" w:rsidR="00F103A0" w:rsidRPr="00A6507E" w:rsidRDefault="00F103A0" w:rsidP="00AE5291">
            <w:pPr>
              <w:jc w:val="center"/>
              <w:rPr>
                <w:sz w:val="20"/>
                <w:szCs w:val="20"/>
                <w:lang w:val="en-US"/>
              </w:rPr>
            </w:pPr>
          </w:p>
        </w:tc>
        <w:tc>
          <w:tcPr>
            <w:tcW w:w="1578" w:type="dxa"/>
            <w:vAlign w:val="center"/>
          </w:tcPr>
          <w:p w14:paraId="14601513" w14:textId="16AC1ADE" w:rsidR="00F103A0" w:rsidRPr="00A6507E" w:rsidRDefault="00F103A0" w:rsidP="00AE5291">
            <w:pPr>
              <w:jc w:val="center"/>
              <w:rPr>
                <w:sz w:val="20"/>
                <w:szCs w:val="20"/>
                <w:lang w:val="en-US"/>
              </w:rPr>
            </w:pPr>
            <w:r w:rsidRPr="00A6507E">
              <w:rPr>
                <w:sz w:val="20"/>
                <w:szCs w:val="20"/>
                <w:lang w:val="en-US"/>
              </w:rPr>
              <w:t xml:space="preserve">Selection of </w:t>
            </w:r>
            <w:r>
              <w:rPr>
                <w:sz w:val="20"/>
                <w:szCs w:val="20"/>
                <w:lang w:val="en-US"/>
              </w:rPr>
              <w:br/>
            </w:r>
            <w:r w:rsidRPr="00A6507E">
              <w:rPr>
                <w:sz w:val="20"/>
                <w:szCs w:val="20"/>
                <w:lang w:val="en-US"/>
              </w:rPr>
              <w:t>a PSU by PPS</w:t>
            </w:r>
          </w:p>
          <w:p w14:paraId="053F49CB" w14:textId="58E64133" w:rsidR="00F103A0" w:rsidRPr="00A6507E" w:rsidRDefault="00F103A0" w:rsidP="00AE5291">
            <w:pPr>
              <w:jc w:val="center"/>
              <w:rPr>
                <w:sz w:val="20"/>
                <w:szCs w:val="20"/>
                <w:lang w:val="en-US"/>
              </w:rPr>
            </w:pPr>
          </w:p>
        </w:tc>
        <w:tc>
          <w:tcPr>
            <w:tcW w:w="359" w:type="dxa"/>
            <w:vAlign w:val="center"/>
          </w:tcPr>
          <w:p w14:paraId="67FE9276" w14:textId="77777777" w:rsidR="00F103A0" w:rsidRPr="00A6507E" w:rsidRDefault="00F103A0" w:rsidP="00AE5291">
            <w:pPr>
              <w:jc w:val="center"/>
              <w:rPr>
                <w:sz w:val="20"/>
                <w:szCs w:val="20"/>
                <w:lang w:val="en-US"/>
              </w:rPr>
            </w:pPr>
          </w:p>
        </w:tc>
        <w:tc>
          <w:tcPr>
            <w:tcW w:w="1604" w:type="dxa"/>
            <w:vAlign w:val="center"/>
          </w:tcPr>
          <w:p w14:paraId="1A00E54D" w14:textId="4C759506" w:rsidR="00F103A0" w:rsidRDefault="00F103A0" w:rsidP="00AE5291">
            <w:pPr>
              <w:jc w:val="center"/>
              <w:rPr>
                <w:sz w:val="20"/>
                <w:szCs w:val="20"/>
                <w:lang w:val="en-US"/>
              </w:rPr>
            </w:pPr>
            <w:r w:rsidRPr="00A6507E">
              <w:rPr>
                <w:sz w:val="20"/>
                <w:szCs w:val="20"/>
                <w:lang w:val="en-US"/>
              </w:rPr>
              <w:t xml:space="preserve">Selection of </w:t>
            </w:r>
            <w:r>
              <w:rPr>
                <w:sz w:val="20"/>
                <w:szCs w:val="20"/>
                <w:lang w:val="en-US"/>
              </w:rPr>
              <w:t xml:space="preserve">a </w:t>
            </w:r>
            <w:r w:rsidRPr="00A6507E">
              <w:rPr>
                <w:sz w:val="20"/>
                <w:szCs w:val="20"/>
                <w:lang w:val="en-US"/>
              </w:rPr>
              <w:t>fixed number</w:t>
            </w:r>
            <w:r>
              <w:rPr>
                <w:sz w:val="20"/>
                <w:szCs w:val="20"/>
                <w:lang w:val="en-US"/>
              </w:rPr>
              <w:t xml:space="preserve"> (</w:t>
            </w:r>
            <w:r w:rsidR="003B3C32">
              <w:rPr>
                <w:sz w:val="20"/>
                <w:szCs w:val="20"/>
                <w:lang w:val="en-US"/>
              </w:rPr>
              <w:t>N</w:t>
            </w:r>
            <w:r>
              <w:rPr>
                <w:sz w:val="20"/>
                <w:szCs w:val="20"/>
                <w:lang w:val="en-US"/>
              </w:rPr>
              <w:t>c)</w:t>
            </w:r>
            <w:r w:rsidRPr="00A6507E">
              <w:rPr>
                <w:sz w:val="20"/>
                <w:szCs w:val="20"/>
                <w:lang w:val="en-US"/>
              </w:rPr>
              <w:t xml:space="preserve"> of patients</w:t>
            </w:r>
          </w:p>
          <w:p w14:paraId="2C45AF08" w14:textId="30B7E60A" w:rsidR="003A378D" w:rsidRPr="00A6507E" w:rsidRDefault="003A378D" w:rsidP="00AE5291">
            <w:pPr>
              <w:jc w:val="center"/>
              <w:rPr>
                <w:sz w:val="20"/>
                <w:szCs w:val="20"/>
                <w:lang w:val="en-US"/>
              </w:rPr>
            </w:pPr>
          </w:p>
        </w:tc>
        <w:tc>
          <w:tcPr>
            <w:tcW w:w="359" w:type="dxa"/>
            <w:vAlign w:val="center"/>
          </w:tcPr>
          <w:p w14:paraId="08588A8B" w14:textId="77777777" w:rsidR="00F103A0" w:rsidRPr="00A6507E" w:rsidRDefault="00F103A0" w:rsidP="00AE5291">
            <w:pPr>
              <w:jc w:val="center"/>
              <w:rPr>
                <w:sz w:val="20"/>
                <w:szCs w:val="20"/>
                <w:lang w:val="en-US"/>
              </w:rPr>
            </w:pPr>
          </w:p>
        </w:tc>
        <w:tc>
          <w:tcPr>
            <w:tcW w:w="1252" w:type="dxa"/>
            <w:vAlign w:val="center"/>
          </w:tcPr>
          <w:p w14:paraId="7950C235" w14:textId="77777777" w:rsidR="00F103A0" w:rsidRDefault="003B3C32" w:rsidP="00AE5291">
            <w:pPr>
              <w:jc w:val="center"/>
              <w:rPr>
                <w:sz w:val="20"/>
                <w:szCs w:val="20"/>
                <w:lang w:val="en-US"/>
              </w:rPr>
            </w:pPr>
            <w:r>
              <w:rPr>
                <w:sz w:val="20"/>
                <w:szCs w:val="20"/>
                <w:lang w:val="en-US"/>
              </w:rPr>
              <w:t>Conditional probability for a</w:t>
            </w:r>
            <w:r w:rsidR="00F103A0">
              <w:rPr>
                <w:sz w:val="20"/>
                <w:szCs w:val="20"/>
                <w:lang w:val="en-US"/>
              </w:rPr>
              <w:t xml:space="preserve"> specific observation</w:t>
            </w:r>
          </w:p>
          <w:p w14:paraId="47C7B8A8" w14:textId="3070FAC2" w:rsidR="003B3C32" w:rsidRPr="00A6507E" w:rsidRDefault="003B3C32" w:rsidP="00AE5291">
            <w:pPr>
              <w:jc w:val="center"/>
              <w:rPr>
                <w:sz w:val="20"/>
                <w:szCs w:val="20"/>
                <w:lang w:val="en-US"/>
              </w:rPr>
            </w:pPr>
          </w:p>
        </w:tc>
        <w:tc>
          <w:tcPr>
            <w:tcW w:w="366" w:type="dxa"/>
            <w:vAlign w:val="center"/>
          </w:tcPr>
          <w:p w14:paraId="38D27A8B" w14:textId="77777777" w:rsidR="00F103A0" w:rsidRDefault="00F103A0" w:rsidP="00AE5291">
            <w:pPr>
              <w:jc w:val="center"/>
              <w:rPr>
                <w:sz w:val="20"/>
                <w:szCs w:val="20"/>
                <w:lang w:val="en-US"/>
              </w:rPr>
            </w:pPr>
          </w:p>
        </w:tc>
        <w:tc>
          <w:tcPr>
            <w:tcW w:w="1622" w:type="dxa"/>
            <w:vAlign w:val="center"/>
          </w:tcPr>
          <w:p w14:paraId="7DB3EB6D" w14:textId="77777777" w:rsidR="00F103A0" w:rsidRDefault="00F103A0" w:rsidP="00AE5291">
            <w:pPr>
              <w:jc w:val="center"/>
              <w:rPr>
                <w:sz w:val="20"/>
                <w:szCs w:val="20"/>
                <w:lang w:val="en-US"/>
              </w:rPr>
            </w:pPr>
          </w:p>
        </w:tc>
      </w:tr>
      <w:tr w:rsidR="00F103A0" w:rsidRPr="00A6507E" w14:paraId="30455AC3" w14:textId="7A5BB8FE" w:rsidTr="00FE56E0">
        <w:tc>
          <w:tcPr>
            <w:tcW w:w="1098" w:type="dxa"/>
            <w:vAlign w:val="center"/>
          </w:tcPr>
          <w:p w14:paraId="094D0A2C" w14:textId="37D3465D" w:rsidR="00F103A0" w:rsidRPr="00A6507E" w:rsidRDefault="00F103A0" w:rsidP="00F103A0">
            <w:pPr>
              <w:jc w:val="center"/>
              <w:rPr>
                <w:rFonts w:ascii="Calibri" w:eastAsia="游明朝" w:hAnsi="Calibri" w:cs="Times New Roman"/>
                <w:sz w:val="20"/>
                <w:szCs w:val="20"/>
                <w:lang w:val="en-US"/>
              </w:rPr>
            </w:pPr>
            <w:r>
              <w:rPr>
                <w:rFonts w:ascii="Calibri" w:eastAsia="游明朝" w:hAnsi="Calibri" w:cs="Times New Roman"/>
                <w:sz w:val="20"/>
                <w:szCs w:val="20"/>
                <w:lang w:val="en-US"/>
              </w:rPr>
              <w:t>Sampling probability</w:t>
            </w:r>
          </w:p>
        </w:tc>
        <w:tc>
          <w:tcPr>
            <w:tcW w:w="402" w:type="dxa"/>
            <w:vAlign w:val="center"/>
          </w:tcPr>
          <w:p w14:paraId="6B8BFF71" w14:textId="52487C5F" w:rsidR="00F103A0" w:rsidRPr="00A6507E" w:rsidRDefault="00F103A0" w:rsidP="00F103A0">
            <w:pPr>
              <w:jc w:val="center"/>
              <w:rPr>
                <w:rFonts w:ascii="Calibri" w:eastAsia="游明朝" w:hAnsi="Calibri" w:cs="Times New Roman"/>
                <w:sz w:val="20"/>
                <w:szCs w:val="20"/>
                <w:lang w:val="en-US"/>
              </w:rPr>
            </w:pPr>
            <m:oMathPara>
              <m:oMath>
                <m:r>
                  <w:rPr>
                    <w:rFonts w:ascii="Cambria Math" w:eastAsia="游明朝" w:hAnsi="Cambria Math" w:cs="Times New Roman"/>
                    <w:sz w:val="20"/>
                    <w:szCs w:val="20"/>
                    <w:lang w:val="en-US"/>
                  </w:rPr>
                  <m:t>=</m:t>
                </m:r>
              </m:oMath>
            </m:oMathPara>
          </w:p>
        </w:tc>
        <w:tc>
          <w:tcPr>
            <w:tcW w:w="1578" w:type="dxa"/>
            <w:vAlign w:val="center"/>
          </w:tcPr>
          <w:p w14:paraId="35C5E8F3" w14:textId="13283A30" w:rsidR="00F103A0" w:rsidRPr="00A6507E" w:rsidRDefault="00CB4936" w:rsidP="00F103A0">
            <w:pPr>
              <w:jc w:val="center"/>
              <w:rPr>
                <w:sz w:val="20"/>
                <w:szCs w:val="20"/>
                <w:lang w:val="en-US"/>
              </w:rPr>
            </w:pPr>
            <m:oMathPara>
              <m:oMath>
                <m:f>
                  <m:fPr>
                    <m:ctrlPr>
                      <w:rPr>
                        <w:rFonts w:ascii="Cambria Math" w:hAnsi="Cambria Math"/>
                        <w:sz w:val="20"/>
                        <w:szCs w:val="20"/>
                        <w:lang w:val="en-US"/>
                      </w:rPr>
                    </m:ctrlPr>
                  </m:fPr>
                  <m:num>
                    <m:r>
                      <w:rPr>
                        <w:rFonts w:ascii="Cambria Math" w:hAnsi="Cambria Math"/>
                        <w:sz w:val="20"/>
                        <w:szCs w:val="20"/>
                        <w:lang w:val="en-US"/>
                      </w:rPr>
                      <m:t>All TB in a PSU</m:t>
                    </m:r>
                  </m:num>
                  <m:den>
                    <m:r>
                      <w:rPr>
                        <w:rFonts w:ascii="Cambria Math" w:hAnsi="Cambria Math"/>
                        <w:sz w:val="20"/>
                        <w:szCs w:val="20"/>
                        <w:lang w:val="en-US"/>
                      </w:rPr>
                      <m:t>All notifed TB</m:t>
                    </m:r>
                  </m:den>
                </m:f>
              </m:oMath>
            </m:oMathPara>
          </w:p>
        </w:tc>
        <w:tc>
          <w:tcPr>
            <w:tcW w:w="359" w:type="dxa"/>
            <w:vAlign w:val="center"/>
          </w:tcPr>
          <w:p w14:paraId="04867D36" w14:textId="70E088CA" w:rsidR="00F103A0" w:rsidRPr="00AE5291" w:rsidRDefault="00F103A0" w:rsidP="00F103A0">
            <w:pPr>
              <w:jc w:val="center"/>
              <w:rPr>
                <w:sz w:val="20"/>
                <w:szCs w:val="20"/>
                <w:lang w:val="en-US"/>
              </w:rPr>
            </w:pPr>
            <m:oMathPara>
              <m:oMath>
                <m:r>
                  <w:rPr>
                    <w:rFonts w:ascii="Cambria Math" w:hAnsi="Cambria Math"/>
                    <w:sz w:val="20"/>
                    <w:szCs w:val="20"/>
                    <w:lang w:val="en-US"/>
                  </w:rPr>
                  <m:t>×</m:t>
                </m:r>
              </m:oMath>
            </m:oMathPara>
          </w:p>
        </w:tc>
        <w:tc>
          <w:tcPr>
            <w:tcW w:w="1604" w:type="dxa"/>
            <w:vAlign w:val="center"/>
          </w:tcPr>
          <w:p w14:paraId="367E264F" w14:textId="698A1EA6" w:rsidR="00F103A0" w:rsidRPr="00A6507E" w:rsidRDefault="00CB4936" w:rsidP="00F103A0">
            <w:pPr>
              <w:jc w:val="center"/>
              <w:rPr>
                <w:sz w:val="20"/>
                <w:szCs w:val="20"/>
                <w:lang w:val="en-US"/>
              </w:rPr>
            </w:pPr>
            <m:oMathPara>
              <m:oMath>
                <m:f>
                  <m:fPr>
                    <m:ctrlPr>
                      <w:rPr>
                        <w:rFonts w:ascii="Cambria Math" w:hAnsi="Cambria Math"/>
                        <w:sz w:val="20"/>
                        <w:szCs w:val="20"/>
                        <w:lang w:val="en-US"/>
                      </w:rPr>
                    </m:ctrlPr>
                  </m:fPr>
                  <m:num>
                    <m:r>
                      <w:rPr>
                        <w:rFonts w:ascii="Cambria Math" w:hAnsi="Cambria Math"/>
                        <w:sz w:val="20"/>
                        <w:szCs w:val="20"/>
                        <w:lang w:val="en-US"/>
                      </w:rPr>
                      <m:t>Nc</m:t>
                    </m:r>
                  </m:num>
                  <m:den>
                    <m:r>
                      <w:rPr>
                        <w:rFonts w:ascii="Cambria Math" w:hAnsi="Cambria Math"/>
                        <w:sz w:val="20"/>
                        <w:szCs w:val="20"/>
                        <w:lang w:val="en-US"/>
                      </w:rPr>
                      <m:t>All TB in a PSU</m:t>
                    </m:r>
                  </m:den>
                </m:f>
              </m:oMath>
            </m:oMathPara>
          </w:p>
        </w:tc>
        <w:tc>
          <w:tcPr>
            <w:tcW w:w="359" w:type="dxa"/>
            <w:vAlign w:val="center"/>
          </w:tcPr>
          <w:p w14:paraId="20906630" w14:textId="1D3C5E9A" w:rsidR="00F103A0" w:rsidRPr="00A6507E" w:rsidRDefault="00F103A0" w:rsidP="00F103A0">
            <w:pPr>
              <w:jc w:val="center"/>
              <w:rPr>
                <w:sz w:val="20"/>
                <w:szCs w:val="20"/>
                <w:lang w:val="en-US"/>
              </w:rPr>
            </w:pPr>
            <m:oMathPara>
              <m:oMath>
                <m:r>
                  <w:rPr>
                    <w:rFonts w:ascii="Cambria Math" w:hAnsi="Cambria Math"/>
                    <w:sz w:val="20"/>
                    <w:szCs w:val="20"/>
                    <w:lang w:val="en-US"/>
                  </w:rPr>
                  <m:t>×</m:t>
                </m:r>
              </m:oMath>
            </m:oMathPara>
          </w:p>
        </w:tc>
        <w:tc>
          <w:tcPr>
            <w:tcW w:w="1252" w:type="dxa"/>
            <w:vAlign w:val="center"/>
          </w:tcPr>
          <w:p w14:paraId="5EAD0FD6" w14:textId="7A13632D" w:rsidR="00F103A0" w:rsidRPr="00A6507E" w:rsidRDefault="00CB4936" w:rsidP="00F103A0">
            <w:pPr>
              <w:jc w:val="center"/>
              <w:rPr>
                <w:sz w:val="20"/>
                <w:szCs w:val="20"/>
                <w:lang w:val="en-US"/>
              </w:rPr>
            </w:pPr>
            <m:oMathPara>
              <m:oMath>
                <m:f>
                  <m:fPr>
                    <m:ctrlPr>
                      <w:rPr>
                        <w:rFonts w:ascii="Cambria Math" w:hAnsi="Cambria Math"/>
                        <w:sz w:val="20"/>
                        <w:szCs w:val="20"/>
                        <w:lang w:val="en-US"/>
                      </w:rPr>
                    </m:ctrlPr>
                  </m:fPr>
                  <m:num>
                    <m:r>
                      <w:rPr>
                        <w:rFonts w:ascii="Cambria Math" w:hAnsi="Cambria Math"/>
                        <w:sz w:val="20"/>
                        <w:szCs w:val="20"/>
                        <w:lang w:val="en-US"/>
                      </w:rPr>
                      <m:t>1</m:t>
                    </m:r>
                  </m:num>
                  <m:den>
                    <m:r>
                      <w:rPr>
                        <w:rFonts w:ascii="Cambria Math" w:hAnsi="Cambria Math"/>
                        <w:sz w:val="20"/>
                        <w:szCs w:val="20"/>
                        <w:lang w:val="en-US"/>
                      </w:rPr>
                      <m:t xml:space="preserve">Nc </m:t>
                    </m:r>
                  </m:den>
                </m:f>
              </m:oMath>
            </m:oMathPara>
          </w:p>
        </w:tc>
        <w:tc>
          <w:tcPr>
            <w:tcW w:w="366" w:type="dxa"/>
            <w:vAlign w:val="center"/>
          </w:tcPr>
          <w:p w14:paraId="2BD4E6FB" w14:textId="2BD0B74D" w:rsidR="00F103A0" w:rsidRPr="00A6507E" w:rsidRDefault="00F103A0" w:rsidP="00F103A0">
            <w:pPr>
              <w:jc w:val="center"/>
              <w:rPr>
                <w:rFonts w:ascii="Calibri" w:eastAsia="游明朝" w:hAnsi="Calibri" w:cs="Times New Roman"/>
                <w:sz w:val="20"/>
                <w:szCs w:val="20"/>
                <w:lang w:val="en-US"/>
              </w:rPr>
            </w:pPr>
            <m:oMathPara>
              <m:oMath>
                <m:r>
                  <w:rPr>
                    <w:rFonts w:ascii="Cambria Math" w:eastAsia="游明朝" w:hAnsi="Cambria Math" w:cs="Times New Roman"/>
                    <w:sz w:val="20"/>
                    <w:szCs w:val="20"/>
                    <w:lang w:val="en-US"/>
                  </w:rPr>
                  <m:t>=</m:t>
                </m:r>
              </m:oMath>
            </m:oMathPara>
          </w:p>
        </w:tc>
        <w:tc>
          <w:tcPr>
            <w:tcW w:w="1622" w:type="dxa"/>
            <w:vAlign w:val="center"/>
          </w:tcPr>
          <w:p w14:paraId="21ADE4A8" w14:textId="51E024EF" w:rsidR="00F103A0" w:rsidRPr="00A6507E" w:rsidRDefault="00CB4936" w:rsidP="00F103A0">
            <w:pPr>
              <w:jc w:val="center"/>
              <w:rPr>
                <w:rFonts w:ascii="Calibri" w:eastAsia="游明朝" w:hAnsi="Calibri" w:cs="Times New Roman"/>
                <w:sz w:val="20"/>
                <w:szCs w:val="20"/>
                <w:lang w:val="en-US"/>
              </w:rPr>
            </w:pPr>
            <m:oMathPara>
              <m:oMath>
                <m:f>
                  <m:fPr>
                    <m:ctrlPr>
                      <w:rPr>
                        <w:rFonts w:ascii="Cambria Math" w:hAnsi="Cambria Math"/>
                        <w:sz w:val="20"/>
                        <w:szCs w:val="20"/>
                        <w:lang w:val="en-US"/>
                      </w:rPr>
                    </m:ctrlPr>
                  </m:fPr>
                  <m:num>
                    <m:r>
                      <w:rPr>
                        <w:rFonts w:ascii="Cambria Math" w:hAnsi="Cambria Math"/>
                        <w:sz w:val="20"/>
                        <w:szCs w:val="20"/>
                        <w:lang w:val="en-US"/>
                      </w:rPr>
                      <m:t>1</m:t>
                    </m:r>
                  </m:num>
                  <m:den>
                    <m:r>
                      <w:rPr>
                        <w:rFonts w:ascii="Cambria Math" w:hAnsi="Cambria Math"/>
                        <w:sz w:val="20"/>
                        <w:szCs w:val="20"/>
                        <w:lang w:val="en-US"/>
                      </w:rPr>
                      <m:t xml:space="preserve">All notified TB </m:t>
                    </m:r>
                  </m:den>
                </m:f>
              </m:oMath>
            </m:oMathPara>
          </w:p>
        </w:tc>
      </w:tr>
      <w:tr w:rsidR="00FE56E0" w:rsidRPr="00A6507E" w14:paraId="68ED7608" w14:textId="77777777" w:rsidTr="00FE56E0">
        <w:tc>
          <w:tcPr>
            <w:tcW w:w="1098" w:type="dxa"/>
            <w:vAlign w:val="center"/>
          </w:tcPr>
          <w:p w14:paraId="5CA29C8D" w14:textId="77777777" w:rsidR="00FE56E0" w:rsidRDefault="00FE56E0" w:rsidP="00F103A0">
            <w:pPr>
              <w:jc w:val="center"/>
              <w:rPr>
                <w:rFonts w:ascii="Calibri" w:eastAsia="游明朝" w:hAnsi="Calibri" w:cs="Times New Roman"/>
                <w:sz w:val="20"/>
                <w:szCs w:val="20"/>
                <w:lang w:val="en-US"/>
              </w:rPr>
            </w:pPr>
          </w:p>
        </w:tc>
        <w:tc>
          <w:tcPr>
            <w:tcW w:w="402" w:type="dxa"/>
            <w:vAlign w:val="center"/>
          </w:tcPr>
          <w:p w14:paraId="655CAFC0" w14:textId="77777777" w:rsidR="00FE56E0" w:rsidRDefault="00FE56E0" w:rsidP="00F103A0">
            <w:pPr>
              <w:jc w:val="center"/>
              <w:rPr>
                <w:rFonts w:ascii="Calibri" w:eastAsia="游明朝" w:hAnsi="Calibri" w:cs="Times New Roman"/>
                <w:sz w:val="20"/>
                <w:szCs w:val="20"/>
                <w:lang w:val="en-US"/>
              </w:rPr>
            </w:pPr>
          </w:p>
        </w:tc>
        <w:tc>
          <w:tcPr>
            <w:tcW w:w="1578" w:type="dxa"/>
            <w:vAlign w:val="center"/>
          </w:tcPr>
          <w:p w14:paraId="2FCF537C" w14:textId="77777777" w:rsidR="00FE56E0" w:rsidRPr="00A6507E" w:rsidRDefault="00FE56E0" w:rsidP="00F103A0">
            <w:pPr>
              <w:jc w:val="center"/>
              <w:rPr>
                <w:rFonts w:ascii="Calibri" w:eastAsia="游明朝" w:hAnsi="Calibri" w:cs="Times New Roman"/>
                <w:sz w:val="20"/>
                <w:szCs w:val="20"/>
                <w:lang w:val="en-US"/>
              </w:rPr>
            </w:pPr>
          </w:p>
        </w:tc>
        <w:tc>
          <w:tcPr>
            <w:tcW w:w="359" w:type="dxa"/>
            <w:vAlign w:val="center"/>
          </w:tcPr>
          <w:p w14:paraId="3FC283C1" w14:textId="77777777" w:rsidR="00FE56E0" w:rsidRDefault="00FE56E0" w:rsidP="00F103A0">
            <w:pPr>
              <w:jc w:val="center"/>
              <w:rPr>
                <w:rFonts w:ascii="Calibri" w:eastAsia="游明朝" w:hAnsi="Calibri" w:cs="Times New Roman"/>
                <w:sz w:val="20"/>
                <w:szCs w:val="20"/>
                <w:lang w:val="en-US"/>
              </w:rPr>
            </w:pPr>
          </w:p>
        </w:tc>
        <w:tc>
          <w:tcPr>
            <w:tcW w:w="1604" w:type="dxa"/>
            <w:vAlign w:val="center"/>
          </w:tcPr>
          <w:p w14:paraId="24455670" w14:textId="77777777" w:rsidR="00FE56E0" w:rsidRPr="00A6507E" w:rsidRDefault="00FE56E0" w:rsidP="00F103A0">
            <w:pPr>
              <w:jc w:val="center"/>
              <w:rPr>
                <w:rFonts w:ascii="Calibri" w:eastAsia="游明朝" w:hAnsi="Calibri" w:cs="Times New Roman"/>
                <w:sz w:val="20"/>
                <w:szCs w:val="20"/>
                <w:lang w:val="en-US"/>
              </w:rPr>
            </w:pPr>
          </w:p>
        </w:tc>
        <w:tc>
          <w:tcPr>
            <w:tcW w:w="359" w:type="dxa"/>
            <w:vAlign w:val="center"/>
          </w:tcPr>
          <w:p w14:paraId="1311B991" w14:textId="77777777" w:rsidR="00FE56E0" w:rsidRDefault="00FE56E0" w:rsidP="00F103A0">
            <w:pPr>
              <w:jc w:val="center"/>
              <w:rPr>
                <w:rFonts w:ascii="Calibri" w:eastAsia="游明朝" w:hAnsi="Calibri" w:cs="Times New Roman"/>
                <w:sz w:val="20"/>
                <w:szCs w:val="20"/>
                <w:lang w:val="en-US"/>
              </w:rPr>
            </w:pPr>
          </w:p>
        </w:tc>
        <w:tc>
          <w:tcPr>
            <w:tcW w:w="1252" w:type="dxa"/>
            <w:vAlign w:val="center"/>
          </w:tcPr>
          <w:p w14:paraId="2A08AFF7" w14:textId="77777777" w:rsidR="00FE56E0" w:rsidRPr="00A6507E" w:rsidRDefault="00FE56E0" w:rsidP="00F103A0">
            <w:pPr>
              <w:jc w:val="center"/>
              <w:rPr>
                <w:rFonts w:ascii="Calibri" w:eastAsia="游明朝" w:hAnsi="Calibri" w:cs="Times New Roman"/>
                <w:sz w:val="20"/>
                <w:szCs w:val="20"/>
                <w:lang w:val="en-US"/>
              </w:rPr>
            </w:pPr>
          </w:p>
        </w:tc>
        <w:tc>
          <w:tcPr>
            <w:tcW w:w="366" w:type="dxa"/>
            <w:vAlign w:val="center"/>
          </w:tcPr>
          <w:p w14:paraId="2A536ABA" w14:textId="77777777" w:rsidR="00FE56E0" w:rsidRDefault="00FE56E0" w:rsidP="00F103A0">
            <w:pPr>
              <w:jc w:val="center"/>
              <w:rPr>
                <w:rFonts w:ascii="Calibri" w:eastAsia="游明朝" w:hAnsi="Calibri" w:cs="Times New Roman"/>
                <w:sz w:val="20"/>
                <w:szCs w:val="20"/>
                <w:lang w:val="en-US"/>
              </w:rPr>
            </w:pPr>
          </w:p>
        </w:tc>
        <w:tc>
          <w:tcPr>
            <w:tcW w:w="1622" w:type="dxa"/>
            <w:vAlign w:val="center"/>
          </w:tcPr>
          <w:p w14:paraId="5D322CCC" w14:textId="77777777" w:rsidR="00FE56E0" w:rsidRPr="00A6507E" w:rsidRDefault="00FE56E0" w:rsidP="00F103A0">
            <w:pPr>
              <w:jc w:val="center"/>
              <w:rPr>
                <w:rFonts w:ascii="Calibri" w:eastAsia="游明朝" w:hAnsi="Calibri" w:cs="Times New Roman"/>
                <w:sz w:val="20"/>
                <w:szCs w:val="20"/>
                <w:lang w:val="en-US"/>
              </w:rPr>
            </w:pPr>
          </w:p>
        </w:tc>
      </w:tr>
      <w:tr w:rsidR="00FE56E0" w:rsidRPr="00A6507E" w14:paraId="0E981738" w14:textId="2729C0B9" w:rsidTr="00FE56E0">
        <w:tc>
          <w:tcPr>
            <w:tcW w:w="1098" w:type="dxa"/>
            <w:vAlign w:val="center"/>
          </w:tcPr>
          <w:p w14:paraId="700F626E" w14:textId="70AC362F" w:rsidR="00FE56E0" w:rsidRPr="00A6507E" w:rsidRDefault="00FE56E0" w:rsidP="00FE56E0">
            <w:pPr>
              <w:jc w:val="center"/>
              <w:rPr>
                <w:sz w:val="20"/>
                <w:szCs w:val="20"/>
                <w:lang w:val="en-US"/>
              </w:rPr>
            </w:pPr>
            <w:r>
              <w:rPr>
                <w:rFonts w:ascii="Calibri" w:eastAsia="游明朝" w:hAnsi="Calibri" w:cs="Times New Roman"/>
                <w:sz w:val="20"/>
                <w:szCs w:val="20"/>
                <w:lang w:val="en-US"/>
              </w:rPr>
              <w:t>Base weight</w:t>
            </w:r>
          </w:p>
        </w:tc>
        <w:tc>
          <w:tcPr>
            <w:tcW w:w="402" w:type="dxa"/>
            <w:vAlign w:val="center"/>
          </w:tcPr>
          <w:p w14:paraId="193FFF63" w14:textId="1E7292D3" w:rsidR="00FE56E0" w:rsidRPr="00A6507E" w:rsidRDefault="00FE56E0" w:rsidP="00FE56E0">
            <w:pPr>
              <w:jc w:val="center"/>
              <w:rPr>
                <w:sz w:val="20"/>
                <w:szCs w:val="20"/>
                <w:lang w:val="en-US"/>
              </w:rPr>
            </w:pPr>
            <m:oMathPara>
              <m:oMath>
                <m:r>
                  <w:rPr>
                    <w:rFonts w:ascii="Cambria Math" w:eastAsia="游明朝" w:hAnsi="Cambria Math" w:cs="Times New Roman"/>
                    <w:sz w:val="20"/>
                    <w:szCs w:val="20"/>
                    <w:lang w:val="en-US"/>
                  </w:rPr>
                  <m:t>=</m:t>
                </m:r>
              </m:oMath>
            </m:oMathPara>
          </w:p>
        </w:tc>
        <w:tc>
          <w:tcPr>
            <w:tcW w:w="1578" w:type="dxa"/>
            <w:vAlign w:val="center"/>
          </w:tcPr>
          <w:p w14:paraId="6FB7B265" w14:textId="6B94C5B5" w:rsidR="00FE56E0" w:rsidRPr="00A6507E" w:rsidRDefault="00FE56E0" w:rsidP="00FE56E0">
            <w:pPr>
              <w:jc w:val="center"/>
              <w:rPr>
                <w:sz w:val="20"/>
                <w:szCs w:val="20"/>
                <w:lang w:val="en-US"/>
              </w:rPr>
            </w:pPr>
            <m:oMathPara>
              <m:oMath>
                <m:r>
                  <w:rPr>
                    <w:rFonts w:ascii="Cambria Math" w:hAnsi="Cambria Math"/>
                    <w:sz w:val="20"/>
                    <w:szCs w:val="20"/>
                    <w:lang w:val="en-US"/>
                  </w:rPr>
                  <m:t>All notifed TB</m:t>
                </m:r>
              </m:oMath>
            </m:oMathPara>
          </w:p>
        </w:tc>
        <w:tc>
          <w:tcPr>
            <w:tcW w:w="359" w:type="dxa"/>
            <w:vAlign w:val="center"/>
          </w:tcPr>
          <w:p w14:paraId="7543B86F" w14:textId="77777777" w:rsidR="00FE56E0" w:rsidRPr="00A6507E" w:rsidRDefault="00FE56E0" w:rsidP="00FE56E0">
            <w:pPr>
              <w:jc w:val="center"/>
              <w:rPr>
                <w:sz w:val="20"/>
                <w:szCs w:val="20"/>
                <w:lang w:val="en-US"/>
              </w:rPr>
            </w:pPr>
          </w:p>
        </w:tc>
        <w:tc>
          <w:tcPr>
            <w:tcW w:w="1604" w:type="dxa"/>
            <w:vAlign w:val="center"/>
          </w:tcPr>
          <w:p w14:paraId="42078252" w14:textId="77777777" w:rsidR="00FE56E0" w:rsidRPr="00A6507E" w:rsidRDefault="00FE56E0" w:rsidP="00FE56E0">
            <w:pPr>
              <w:jc w:val="center"/>
              <w:rPr>
                <w:sz w:val="20"/>
                <w:szCs w:val="20"/>
                <w:lang w:val="en-US"/>
              </w:rPr>
            </w:pPr>
          </w:p>
        </w:tc>
        <w:tc>
          <w:tcPr>
            <w:tcW w:w="359" w:type="dxa"/>
            <w:vAlign w:val="center"/>
          </w:tcPr>
          <w:p w14:paraId="351F5157" w14:textId="77777777" w:rsidR="00FE56E0" w:rsidRPr="00A6507E" w:rsidRDefault="00FE56E0" w:rsidP="00FE56E0">
            <w:pPr>
              <w:jc w:val="center"/>
              <w:rPr>
                <w:sz w:val="20"/>
                <w:szCs w:val="20"/>
                <w:lang w:val="en-US"/>
              </w:rPr>
            </w:pPr>
          </w:p>
        </w:tc>
        <w:tc>
          <w:tcPr>
            <w:tcW w:w="1252" w:type="dxa"/>
            <w:vAlign w:val="center"/>
          </w:tcPr>
          <w:p w14:paraId="0D80505F" w14:textId="77777777" w:rsidR="00FE56E0" w:rsidRPr="00A6507E" w:rsidRDefault="00FE56E0" w:rsidP="00FE56E0">
            <w:pPr>
              <w:jc w:val="center"/>
              <w:rPr>
                <w:sz w:val="20"/>
                <w:szCs w:val="20"/>
                <w:lang w:val="en-US"/>
              </w:rPr>
            </w:pPr>
          </w:p>
        </w:tc>
        <w:tc>
          <w:tcPr>
            <w:tcW w:w="366" w:type="dxa"/>
            <w:vAlign w:val="center"/>
          </w:tcPr>
          <w:p w14:paraId="07D33BD2" w14:textId="77777777" w:rsidR="00FE56E0" w:rsidRPr="00A6507E" w:rsidRDefault="00FE56E0" w:rsidP="00FE56E0">
            <w:pPr>
              <w:jc w:val="center"/>
              <w:rPr>
                <w:sz w:val="20"/>
                <w:szCs w:val="20"/>
                <w:lang w:val="en-US"/>
              </w:rPr>
            </w:pPr>
          </w:p>
        </w:tc>
        <w:tc>
          <w:tcPr>
            <w:tcW w:w="1622" w:type="dxa"/>
            <w:vAlign w:val="center"/>
          </w:tcPr>
          <w:p w14:paraId="4DAAAD1F" w14:textId="77777777" w:rsidR="00FE56E0" w:rsidRPr="00A6507E" w:rsidRDefault="00FE56E0" w:rsidP="00FE56E0">
            <w:pPr>
              <w:jc w:val="center"/>
              <w:rPr>
                <w:sz w:val="20"/>
                <w:szCs w:val="20"/>
                <w:lang w:val="en-US"/>
              </w:rPr>
            </w:pPr>
          </w:p>
        </w:tc>
      </w:tr>
    </w:tbl>
    <w:p w14:paraId="0A17DAB3" w14:textId="502DC265" w:rsidR="00A6507E" w:rsidRDefault="00A6507E" w:rsidP="003A378D">
      <w:pPr>
        <w:rPr>
          <w:lang w:val="en-US"/>
        </w:rPr>
      </w:pPr>
    </w:p>
    <w:p w14:paraId="18F8A1DB" w14:textId="3F8D2118" w:rsidR="00F103A0" w:rsidRDefault="00F103A0" w:rsidP="00F103A0">
      <w:pPr>
        <w:ind w:left="720"/>
        <w:rPr>
          <w:lang w:val="en-US"/>
        </w:rPr>
      </w:pPr>
      <w:r>
        <w:rPr>
          <w:lang w:val="en-US"/>
        </w:rPr>
        <w:t xml:space="preserve">As shown above, if the PPS procedure is followed as intended, weight is not needed because the sampling probability is equal across all observations regardless of the size of PSU. </w:t>
      </w:r>
    </w:p>
    <w:p w14:paraId="7F7A9E70" w14:textId="1E1D3809" w:rsidR="00A75AAA" w:rsidRDefault="00A75AAA" w:rsidP="00F103A0">
      <w:pPr>
        <w:ind w:left="720"/>
        <w:rPr>
          <w:lang w:val="en-US"/>
        </w:rPr>
      </w:pPr>
    </w:p>
    <w:p w14:paraId="040A086D" w14:textId="534BDDB5" w:rsidR="00A75AAA" w:rsidRDefault="00A75AAA" w:rsidP="00A75AAA">
      <w:pPr>
        <w:pStyle w:val="ListParagraph"/>
        <w:numPr>
          <w:ilvl w:val="1"/>
          <w:numId w:val="2"/>
        </w:numPr>
        <w:rPr>
          <w:lang w:val="en-US"/>
        </w:rPr>
      </w:pPr>
      <w:r>
        <w:rPr>
          <w:lang w:val="en-US"/>
        </w:rPr>
        <w:t xml:space="preserve">Base weight for a stratified sample </w:t>
      </w:r>
    </w:p>
    <w:p w14:paraId="0FF1E8AF" w14:textId="77777777" w:rsidR="00A75AAA" w:rsidRDefault="00A75AAA" w:rsidP="00A75AAA">
      <w:pPr>
        <w:rPr>
          <w:lang w:val="en-US"/>
        </w:rPr>
      </w:pPr>
    </w:p>
    <w:p w14:paraId="5373EC38" w14:textId="1852FD85" w:rsidR="00A75AAA" w:rsidRDefault="00A75AAA" w:rsidP="008873F9">
      <w:pPr>
        <w:ind w:left="720"/>
        <w:rPr>
          <w:lang w:val="en-US"/>
        </w:rPr>
      </w:pPr>
      <w:r>
        <w:rPr>
          <w:lang w:val="en-US"/>
        </w:rPr>
        <w:t xml:space="preserve">In a stratified sampling design, by definition, each stratum should represent a mutually exclusive different population group. This means sampling probability of each observation in different strata are not usually equal. By using above equation, </w:t>
      </w:r>
      <w:r w:rsidR="00FE56E0">
        <w:rPr>
          <w:lang w:val="en-US"/>
        </w:rPr>
        <w:t>weight values assigned to each stratum is equal to the total population size for each stratum. For example, in a survey with two strata for drug-susceptible and drug-resistant TB patients, weight values can be derived from the numbers of all notified TB cases in the country disaggregated by drug-resistant status. Using this approach, one can calculate overall estimates for all TB patients in the country</w:t>
      </w:r>
      <w:r w:rsidR="008873F9">
        <w:rPr>
          <w:lang w:val="en-US"/>
        </w:rPr>
        <w:t>, instead of estimates within the survey sample</w:t>
      </w:r>
      <w:r w:rsidR="00FE56E0">
        <w:rPr>
          <w:lang w:val="en-US"/>
        </w:rPr>
        <w:t>. A simple average, or weighted average within the survey sample will provide different results</w:t>
      </w:r>
      <w:r w:rsidR="008873F9">
        <w:rPr>
          <w:lang w:val="en-US"/>
        </w:rPr>
        <w:t xml:space="preserve">. Investigators need to be well aware of the differences and able to interpret estimates appropriately. </w:t>
      </w:r>
    </w:p>
    <w:p w14:paraId="4822F00A" w14:textId="77777777" w:rsidR="00A75AAA" w:rsidRDefault="00A75AAA" w:rsidP="00F103A0">
      <w:pPr>
        <w:ind w:left="720"/>
        <w:rPr>
          <w:lang w:val="en-US"/>
        </w:rPr>
      </w:pPr>
    </w:p>
    <w:p w14:paraId="7679557F" w14:textId="27D1D410" w:rsidR="003A378D" w:rsidRDefault="003A378D" w:rsidP="00F103A0">
      <w:pPr>
        <w:ind w:left="720"/>
        <w:rPr>
          <w:lang w:val="en-US"/>
        </w:rPr>
      </w:pPr>
    </w:p>
    <w:p w14:paraId="4721889D" w14:textId="4CE5A1EF" w:rsidR="003A378D" w:rsidRDefault="003A378D" w:rsidP="00A75AAA">
      <w:pPr>
        <w:pStyle w:val="ListParagraph"/>
        <w:numPr>
          <w:ilvl w:val="1"/>
          <w:numId w:val="2"/>
        </w:numPr>
        <w:rPr>
          <w:lang w:val="en-US"/>
        </w:rPr>
      </w:pPr>
      <w:r>
        <w:rPr>
          <w:lang w:val="en-US"/>
        </w:rPr>
        <w:t xml:space="preserve">Adjustment for under- or over- enrolment  </w:t>
      </w:r>
    </w:p>
    <w:p w14:paraId="37C12515" w14:textId="07B8641C" w:rsidR="003A378D" w:rsidRDefault="003A378D" w:rsidP="00F103A0">
      <w:pPr>
        <w:ind w:left="720"/>
        <w:rPr>
          <w:lang w:val="en-US"/>
        </w:rPr>
      </w:pPr>
    </w:p>
    <w:p w14:paraId="47E5329B" w14:textId="1773C7A1" w:rsidR="003A378D" w:rsidRDefault="003A378D" w:rsidP="00A75AAA">
      <w:pPr>
        <w:ind w:left="720"/>
        <w:rPr>
          <w:lang w:val="en-US"/>
        </w:rPr>
      </w:pPr>
      <w:r>
        <w:rPr>
          <w:lang w:val="en-US"/>
        </w:rPr>
        <w:lastRenderedPageBreak/>
        <w:t xml:space="preserve"> In many instances, actual numbers of enrolled patients might depart from originally assigned cluster size. In such cases, it is necessary to </w:t>
      </w:r>
      <w:r w:rsidR="003B3C32">
        <w:rPr>
          <w:lang w:val="en-US"/>
        </w:rPr>
        <w:t xml:space="preserve">adjust the summary estimates by providing weight. In clusters with a smaller number of patients than the originally intended cluster size, a weight should be given so that they can represent more than their actual size. It is vise-versa for over-enrolled clusters. The weight is calculated as follows. </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6"/>
        <w:gridCol w:w="649"/>
        <w:gridCol w:w="1529"/>
        <w:gridCol w:w="366"/>
        <w:gridCol w:w="1727"/>
        <w:gridCol w:w="366"/>
        <w:gridCol w:w="1209"/>
      </w:tblGrid>
      <w:tr w:rsidR="00A75AAA" w:rsidRPr="00A6507E" w14:paraId="76A69A6D" w14:textId="77777777" w:rsidTr="00A75AAA">
        <w:tc>
          <w:tcPr>
            <w:tcW w:w="806" w:type="dxa"/>
          </w:tcPr>
          <w:p w14:paraId="307EF1B7" w14:textId="77777777" w:rsidR="00A75AAA" w:rsidRPr="00A6507E" w:rsidRDefault="00A75AAA" w:rsidP="00BE7B30">
            <w:pPr>
              <w:jc w:val="center"/>
              <w:rPr>
                <w:sz w:val="20"/>
                <w:szCs w:val="20"/>
                <w:lang w:val="en-US"/>
              </w:rPr>
            </w:pPr>
          </w:p>
        </w:tc>
        <w:tc>
          <w:tcPr>
            <w:tcW w:w="649" w:type="dxa"/>
          </w:tcPr>
          <w:p w14:paraId="110BD280" w14:textId="77777777" w:rsidR="00A75AAA" w:rsidRPr="00A6507E" w:rsidRDefault="00A75AAA" w:rsidP="00BE7B30">
            <w:pPr>
              <w:jc w:val="center"/>
              <w:rPr>
                <w:sz w:val="20"/>
                <w:szCs w:val="20"/>
                <w:lang w:val="en-US"/>
              </w:rPr>
            </w:pPr>
          </w:p>
        </w:tc>
        <w:tc>
          <w:tcPr>
            <w:tcW w:w="1529" w:type="dxa"/>
            <w:vAlign w:val="center"/>
          </w:tcPr>
          <w:p w14:paraId="0D9723E3" w14:textId="37F18F06" w:rsidR="00A75AAA" w:rsidRPr="00A6507E" w:rsidRDefault="00A75AAA" w:rsidP="00BE7B30">
            <w:pPr>
              <w:jc w:val="center"/>
              <w:rPr>
                <w:sz w:val="20"/>
                <w:szCs w:val="20"/>
                <w:lang w:val="en-US"/>
              </w:rPr>
            </w:pPr>
            <w:r>
              <w:rPr>
                <w:sz w:val="20"/>
                <w:szCs w:val="20"/>
                <w:lang w:val="en-US"/>
              </w:rPr>
              <w:t>Number enrolled as per protocol</w:t>
            </w:r>
          </w:p>
          <w:p w14:paraId="7A487575" w14:textId="77777777" w:rsidR="00A75AAA" w:rsidRPr="00A6507E" w:rsidRDefault="00A75AAA" w:rsidP="00BE7B30">
            <w:pPr>
              <w:jc w:val="center"/>
              <w:rPr>
                <w:sz w:val="20"/>
                <w:szCs w:val="20"/>
                <w:lang w:val="en-US"/>
              </w:rPr>
            </w:pPr>
          </w:p>
        </w:tc>
        <w:tc>
          <w:tcPr>
            <w:tcW w:w="366" w:type="dxa"/>
            <w:vAlign w:val="center"/>
          </w:tcPr>
          <w:p w14:paraId="48CEF9F9" w14:textId="77777777" w:rsidR="00A75AAA" w:rsidRPr="00A6507E" w:rsidRDefault="00A75AAA" w:rsidP="00BE7B30">
            <w:pPr>
              <w:jc w:val="center"/>
              <w:rPr>
                <w:sz w:val="20"/>
                <w:szCs w:val="20"/>
                <w:lang w:val="en-US"/>
              </w:rPr>
            </w:pPr>
          </w:p>
        </w:tc>
        <w:tc>
          <w:tcPr>
            <w:tcW w:w="1727" w:type="dxa"/>
            <w:vAlign w:val="center"/>
          </w:tcPr>
          <w:p w14:paraId="475891A9" w14:textId="412F07FF" w:rsidR="00A75AAA" w:rsidRDefault="00A75AAA" w:rsidP="00BE7B30">
            <w:pPr>
              <w:jc w:val="center"/>
              <w:rPr>
                <w:sz w:val="20"/>
                <w:szCs w:val="20"/>
                <w:lang w:val="en-US"/>
              </w:rPr>
            </w:pPr>
            <w:r>
              <w:rPr>
                <w:sz w:val="20"/>
                <w:szCs w:val="20"/>
                <w:lang w:val="en-US"/>
              </w:rPr>
              <w:t>Actual number enrolled in a cluster</w:t>
            </w:r>
          </w:p>
          <w:p w14:paraId="2BD8CFD2" w14:textId="77777777" w:rsidR="00A75AAA" w:rsidRPr="00A6507E" w:rsidRDefault="00A75AAA" w:rsidP="00BE7B30">
            <w:pPr>
              <w:jc w:val="center"/>
              <w:rPr>
                <w:sz w:val="20"/>
                <w:szCs w:val="20"/>
                <w:lang w:val="en-US"/>
              </w:rPr>
            </w:pPr>
          </w:p>
        </w:tc>
        <w:tc>
          <w:tcPr>
            <w:tcW w:w="366" w:type="dxa"/>
            <w:vAlign w:val="center"/>
          </w:tcPr>
          <w:p w14:paraId="37A97372" w14:textId="77777777" w:rsidR="00A75AAA" w:rsidRPr="00A6507E" w:rsidRDefault="00A75AAA" w:rsidP="00BE7B30">
            <w:pPr>
              <w:jc w:val="center"/>
              <w:rPr>
                <w:sz w:val="20"/>
                <w:szCs w:val="20"/>
                <w:lang w:val="en-US"/>
              </w:rPr>
            </w:pPr>
          </w:p>
        </w:tc>
        <w:tc>
          <w:tcPr>
            <w:tcW w:w="1209" w:type="dxa"/>
            <w:vAlign w:val="center"/>
          </w:tcPr>
          <w:p w14:paraId="7ABEB32E" w14:textId="506C1C75" w:rsidR="00A75AAA" w:rsidRPr="00A6507E" w:rsidRDefault="00A75AAA" w:rsidP="00BE7B30">
            <w:pPr>
              <w:jc w:val="center"/>
              <w:rPr>
                <w:sz w:val="20"/>
                <w:szCs w:val="20"/>
                <w:lang w:val="en-US"/>
              </w:rPr>
            </w:pPr>
          </w:p>
        </w:tc>
      </w:tr>
      <w:tr w:rsidR="00A75AAA" w:rsidRPr="00A6507E" w14:paraId="7D78368E" w14:textId="77777777" w:rsidTr="00A75AAA">
        <w:tc>
          <w:tcPr>
            <w:tcW w:w="806" w:type="dxa"/>
            <w:vAlign w:val="center"/>
          </w:tcPr>
          <w:p w14:paraId="707F3806" w14:textId="3824625A" w:rsidR="00A75AAA" w:rsidRPr="00A6507E" w:rsidRDefault="00A75AAA" w:rsidP="00BE7B30">
            <w:pPr>
              <w:jc w:val="center"/>
              <w:rPr>
                <w:rFonts w:ascii="Calibri" w:eastAsia="游明朝" w:hAnsi="Calibri" w:cs="Times New Roman"/>
                <w:sz w:val="20"/>
                <w:szCs w:val="20"/>
                <w:lang w:val="en-US"/>
              </w:rPr>
            </w:pPr>
            <w:r>
              <w:rPr>
                <w:rFonts w:ascii="Calibri" w:eastAsia="游明朝" w:hAnsi="Calibri" w:cs="Times New Roman"/>
                <w:sz w:val="20"/>
                <w:szCs w:val="20"/>
                <w:lang w:val="en-US"/>
              </w:rPr>
              <w:t>Weight</w:t>
            </w:r>
          </w:p>
        </w:tc>
        <w:tc>
          <w:tcPr>
            <w:tcW w:w="649" w:type="dxa"/>
            <w:vAlign w:val="center"/>
          </w:tcPr>
          <w:p w14:paraId="5B95407B" w14:textId="77777777" w:rsidR="00A75AAA" w:rsidRPr="00A6507E" w:rsidRDefault="00A75AAA" w:rsidP="00BE7B30">
            <w:pPr>
              <w:jc w:val="center"/>
              <w:rPr>
                <w:rFonts w:ascii="Calibri" w:eastAsia="游明朝" w:hAnsi="Calibri" w:cs="Times New Roman"/>
                <w:sz w:val="20"/>
                <w:szCs w:val="20"/>
                <w:lang w:val="en-US"/>
              </w:rPr>
            </w:pPr>
            <m:oMathPara>
              <m:oMath>
                <m:r>
                  <w:rPr>
                    <w:rFonts w:ascii="Cambria Math" w:eastAsia="游明朝" w:hAnsi="Cambria Math" w:cs="Times New Roman"/>
                    <w:sz w:val="20"/>
                    <w:szCs w:val="20"/>
                    <w:lang w:val="en-US"/>
                  </w:rPr>
                  <m:t>=</m:t>
                </m:r>
              </m:oMath>
            </m:oMathPara>
          </w:p>
        </w:tc>
        <w:tc>
          <w:tcPr>
            <w:tcW w:w="1529" w:type="dxa"/>
            <w:vAlign w:val="center"/>
          </w:tcPr>
          <w:p w14:paraId="07D783BB" w14:textId="5F0BE976" w:rsidR="00A75AAA" w:rsidRPr="00A6507E" w:rsidRDefault="00A75AAA" w:rsidP="00BE7B30">
            <w:pPr>
              <w:jc w:val="center"/>
              <w:rPr>
                <w:sz w:val="20"/>
                <w:szCs w:val="20"/>
                <w:lang w:val="en-US"/>
              </w:rPr>
            </w:pPr>
            <m:oMathPara>
              <m:oMath>
                <m:r>
                  <w:rPr>
                    <w:rFonts w:ascii="Cambria Math" w:hAnsi="Cambria Math"/>
                    <w:sz w:val="20"/>
                    <w:szCs w:val="20"/>
                    <w:lang w:val="en-US"/>
                  </w:rPr>
                  <m:t>Nc</m:t>
                </m:r>
              </m:oMath>
            </m:oMathPara>
          </w:p>
        </w:tc>
        <w:tc>
          <w:tcPr>
            <w:tcW w:w="366" w:type="dxa"/>
            <w:vAlign w:val="center"/>
          </w:tcPr>
          <w:p w14:paraId="71E556A0" w14:textId="16DFDA77" w:rsidR="00A75AAA" w:rsidRPr="003B3C32" w:rsidRDefault="00A75AAA" w:rsidP="003B3C32">
            <w:pPr>
              <w:jc w:val="center"/>
              <w:rPr>
                <w:sz w:val="20"/>
                <w:szCs w:val="20"/>
                <w:lang w:val="en-US"/>
              </w:rPr>
            </w:pPr>
            <m:oMathPara>
              <m:oMath>
                <m:r>
                  <w:rPr>
                    <w:rFonts w:ascii="Cambria Math" w:hAnsi="Cambria Math"/>
                    <w:sz w:val="20"/>
                    <w:szCs w:val="20"/>
                    <w:lang w:val="en-US"/>
                  </w:rPr>
                  <m:t>÷</m:t>
                </m:r>
              </m:oMath>
            </m:oMathPara>
          </w:p>
        </w:tc>
        <w:tc>
          <w:tcPr>
            <w:tcW w:w="1727" w:type="dxa"/>
            <w:vAlign w:val="center"/>
          </w:tcPr>
          <w:p w14:paraId="06393316" w14:textId="4C9A2436" w:rsidR="00A75AAA" w:rsidRPr="00A6507E" w:rsidRDefault="008873F9" w:rsidP="00BE7B30">
            <w:pPr>
              <w:jc w:val="center"/>
              <w:rPr>
                <w:sz w:val="20"/>
                <w:szCs w:val="20"/>
                <w:lang w:val="en-US"/>
              </w:rPr>
            </w:pPr>
            <m:oMathPara>
              <m:oMath>
                <m:r>
                  <w:rPr>
                    <w:rFonts w:ascii="Cambria Math" w:hAnsi="Cambria Math"/>
                    <w:sz w:val="20"/>
                    <w:szCs w:val="20"/>
                    <w:lang w:val="en-US"/>
                  </w:rPr>
                  <m:t>Nactual</m:t>
                </m:r>
              </m:oMath>
            </m:oMathPara>
          </w:p>
        </w:tc>
        <w:tc>
          <w:tcPr>
            <w:tcW w:w="366" w:type="dxa"/>
            <w:vAlign w:val="center"/>
          </w:tcPr>
          <w:p w14:paraId="5B698950" w14:textId="3E47AD3B" w:rsidR="00A75AAA" w:rsidRPr="00A6507E" w:rsidRDefault="00A75AAA" w:rsidP="00BE7B30">
            <w:pPr>
              <w:jc w:val="center"/>
              <w:rPr>
                <w:sz w:val="20"/>
                <w:szCs w:val="20"/>
                <w:lang w:val="en-US"/>
              </w:rPr>
            </w:pPr>
            <m:oMathPara>
              <m:oMath>
                <m:r>
                  <w:rPr>
                    <w:rFonts w:ascii="Cambria Math" w:hAnsi="Cambria Math"/>
                    <w:sz w:val="20"/>
                    <w:szCs w:val="20"/>
                    <w:lang w:val="en-US"/>
                  </w:rPr>
                  <m:t>=</m:t>
                </m:r>
              </m:oMath>
            </m:oMathPara>
          </w:p>
        </w:tc>
        <w:tc>
          <w:tcPr>
            <w:tcW w:w="1209" w:type="dxa"/>
            <w:vAlign w:val="center"/>
          </w:tcPr>
          <w:p w14:paraId="7AC5B659" w14:textId="28DBE884" w:rsidR="00A75AAA" w:rsidRPr="00A6507E" w:rsidRDefault="00CB4936" w:rsidP="00BE7B30">
            <w:pPr>
              <w:jc w:val="center"/>
              <w:rPr>
                <w:sz w:val="20"/>
                <w:szCs w:val="20"/>
                <w:lang w:val="en-US"/>
              </w:rPr>
            </w:pPr>
            <m:oMathPara>
              <m:oMath>
                <m:f>
                  <m:fPr>
                    <m:ctrlPr>
                      <w:rPr>
                        <w:rFonts w:ascii="Cambria Math" w:hAnsi="Cambria Math"/>
                        <w:sz w:val="20"/>
                        <w:szCs w:val="20"/>
                        <w:lang w:val="en-US"/>
                      </w:rPr>
                    </m:ctrlPr>
                  </m:fPr>
                  <m:num>
                    <m:r>
                      <w:rPr>
                        <w:rFonts w:ascii="Cambria Math" w:hAnsi="Cambria Math"/>
                        <w:sz w:val="20"/>
                        <w:szCs w:val="20"/>
                        <w:lang w:val="en-US"/>
                      </w:rPr>
                      <m:t>Nc</m:t>
                    </m:r>
                  </m:num>
                  <m:den>
                    <m:r>
                      <w:rPr>
                        <w:rFonts w:ascii="Cambria Math" w:hAnsi="Cambria Math"/>
                        <w:sz w:val="20"/>
                        <w:szCs w:val="20"/>
                        <w:lang w:val="en-US"/>
                      </w:rPr>
                      <m:t xml:space="preserve">Nactual </m:t>
                    </m:r>
                  </m:den>
                </m:f>
              </m:oMath>
            </m:oMathPara>
          </w:p>
        </w:tc>
      </w:tr>
      <w:tr w:rsidR="00A75AAA" w:rsidRPr="00A6507E" w14:paraId="37DF7197" w14:textId="77777777" w:rsidTr="00A75AAA">
        <w:tc>
          <w:tcPr>
            <w:tcW w:w="806" w:type="dxa"/>
          </w:tcPr>
          <w:p w14:paraId="07D1EA71" w14:textId="77777777" w:rsidR="00A75AAA" w:rsidRPr="00A6507E" w:rsidRDefault="00A75AAA" w:rsidP="00BE7B30">
            <w:pPr>
              <w:jc w:val="center"/>
              <w:rPr>
                <w:sz w:val="20"/>
                <w:szCs w:val="20"/>
                <w:lang w:val="en-US"/>
              </w:rPr>
            </w:pPr>
          </w:p>
        </w:tc>
        <w:tc>
          <w:tcPr>
            <w:tcW w:w="649" w:type="dxa"/>
          </w:tcPr>
          <w:p w14:paraId="1B1B970B" w14:textId="77777777" w:rsidR="00A75AAA" w:rsidRPr="00A6507E" w:rsidRDefault="00A75AAA" w:rsidP="00BE7B30">
            <w:pPr>
              <w:jc w:val="center"/>
              <w:rPr>
                <w:sz w:val="20"/>
                <w:szCs w:val="20"/>
                <w:lang w:val="en-US"/>
              </w:rPr>
            </w:pPr>
          </w:p>
        </w:tc>
        <w:tc>
          <w:tcPr>
            <w:tcW w:w="1529" w:type="dxa"/>
            <w:vAlign w:val="center"/>
          </w:tcPr>
          <w:p w14:paraId="0C7E37FF" w14:textId="77777777" w:rsidR="00A75AAA" w:rsidRPr="00A6507E" w:rsidRDefault="00A75AAA" w:rsidP="00BE7B30">
            <w:pPr>
              <w:jc w:val="center"/>
              <w:rPr>
                <w:sz w:val="20"/>
                <w:szCs w:val="20"/>
                <w:lang w:val="en-US"/>
              </w:rPr>
            </w:pPr>
          </w:p>
        </w:tc>
        <w:tc>
          <w:tcPr>
            <w:tcW w:w="366" w:type="dxa"/>
            <w:vAlign w:val="center"/>
          </w:tcPr>
          <w:p w14:paraId="6136F18D" w14:textId="77777777" w:rsidR="00A75AAA" w:rsidRPr="00A6507E" w:rsidRDefault="00A75AAA" w:rsidP="00BE7B30">
            <w:pPr>
              <w:jc w:val="center"/>
              <w:rPr>
                <w:sz w:val="20"/>
                <w:szCs w:val="20"/>
                <w:lang w:val="en-US"/>
              </w:rPr>
            </w:pPr>
          </w:p>
        </w:tc>
        <w:tc>
          <w:tcPr>
            <w:tcW w:w="1727" w:type="dxa"/>
            <w:vAlign w:val="center"/>
          </w:tcPr>
          <w:p w14:paraId="13DD85BE" w14:textId="77777777" w:rsidR="00A75AAA" w:rsidRPr="00A6507E" w:rsidRDefault="00A75AAA" w:rsidP="00BE7B30">
            <w:pPr>
              <w:jc w:val="center"/>
              <w:rPr>
                <w:sz w:val="20"/>
                <w:szCs w:val="20"/>
                <w:lang w:val="en-US"/>
              </w:rPr>
            </w:pPr>
          </w:p>
        </w:tc>
        <w:tc>
          <w:tcPr>
            <w:tcW w:w="366" w:type="dxa"/>
            <w:vAlign w:val="center"/>
          </w:tcPr>
          <w:p w14:paraId="3460837F" w14:textId="77777777" w:rsidR="00A75AAA" w:rsidRPr="00A6507E" w:rsidRDefault="00A75AAA" w:rsidP="00BE7B30">
            <w:pPr>
              <w:jc w:val="center"/>
              <w:rPr>
                <w:sz w:val="20"/>
                <w:szCs w:val="20"/>
                <w:lang w:val="en-US"/>
              </w:rPr>
            </w:pPr>
          </w:p>
        </w:tc>
        <w:tc>
          <w:tcPr>
            <w:tcW w:w="1209" w:type="dxa"/>
            <w:vAlign w:val="center"/>
          </w:tcPr>
          <w:p w14:paraId="75A15ED3" w14:textId="77777777" w:rsidR="00A75AAA" w:rsidRPr="00A6507E" w:rsidRDefault="00A75AAA" w:rsidP="00BE7B30">
            <w:pPr>
              <w:jc w:val="center"/>
              <w:rPr>
                <w:sz w:val="20"/>
                <w:szCs w:val="20"/>
                <w:lang w:val="en-US"/>
              </w:rPr>
            </w:pPr>
          </w:p>
        </w:tc>
      </w:tr>
    </w:tbl>
    <w:p w14:paraId="16BB74DD" w14:textId="20E5DE8D" w:rsidR="003B3C32" w:rsidRDefault="00A75AAA" w:rsidP="00F103A0">
      <w:pPr>
        <w:ind w:left="720"/>
        <w:rPr>
          <w:lang w:val="en-US"/>
        </w:rPr>
      </w:pPr>
      <w:r>
        <w:rPr>
          <w:lang w:val="en-US"/>
        </w:rPr>
        <w:t xml:space="preserve">For example, if a cluster only enrolled 20 patients, failing to enroll 25 patients as per protocol, the weight value will be 1.25. This mean that the individual observations in this cluster will have 1.25 times of weight so that 20 patients can represent effectively 25 patients. </w:t>
      </w:r>
    </w:p>
    <w:p w14:paraId="673407CA" w14:textId="4D6CE636" w:rsidR="00A6507E" w:rsidRPr="00A6507E" w:rsidRDefault="00A6507E" w:rsidP="00A6507E">
      <w:pPr>
        <w:ind w:left="720"/>
        <w:rPr>
          <w:lang w:val="en-US"/>
        </w:rPr>
      </w:pPr>
    </w:p>
    <w:sectPr w:rsidR="00A6507E" w:rsidRPr="00A6507E" w:rsidSect="003A378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F5784D"/>
    <w:multiLevelType w:val="hybridMultilevel"/>
    <w:tmpl w:val="947E43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777723"/>
    <w:multiLevelType w:val="hybridMultilevel"/>
    <w:tmpl w:val="9F0614B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6C8170BC"/>
    <w:multiLevelType w:val="hybridMultilevel"/>
    <w:tmpl w:val="3D7C37B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75AB6324"/>
    <w:multiLevelType w:val="hybridMultilevel"/>
    <w:tmpl w:val="CBC27E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07E"/>
    <w:rsid w:val="003A378D"/>
    <w:rsid w:val="003B3C32"/>
    <w:rsid w:val="00810DA7"/>
    <w:rsid w:val="008873F9"/>
    <w:rsid w:val="00A6507E"/>
    <w:rsid w:val="00A75AAA"/>
    <w:rsid w:val="00AE5291"/>
    <w:rsid w:val="00CB4936"/>
    <w:rsid w:val="00F103A0"/>
    <w:rsid w:val="00FE56E0"/>
  </w:rsids>
  <m:mathPr>
    <m:mathFont m:val="Cambria Math"/>
    <m:brkBin m:val="before"/>
    <m:brkBinSub m:val="--"/>
    <m:smallFrac m:val="0"/>
    <m:dispDef/>
    <m:lMargin m:val="0"/>
    <m:rMargin m:val="0"/>
    <m:defJc m:val="centerGroup"/>
    <m:wrapIndent m:val="1440"/>
    <m:intLim m:val="subSup"/>
    <m:naryLim m:val="undOvr"/>
  </m:mathPr>
  <w:themeFontLang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990BE"/>
  <w15:chartTrackingRefBased/>
  <w15:docId w15:val="{20C5D932-7D1B-0B49-8D51-637D4A043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507E"/>
    <w:pPr>
      <w:ind w:left="720"/>
      <w:contextualSpacing/>
    </w:pPr>
  </w:style>
  <w:style w:type="table" w:styleId="TableGrid">
    <w:name w:val="Table Grid"/>
    <w:basedOn w:val="TableNormal"/>
    <w:uiPriority w:val="39"/>
    <w:rsid w:val="00A650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E529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409</Words>
  <Characters>2337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NISHIKIORI, Nobuyuki</dc:creator>
  <cp:keywords/>
  <dc:description/>
  <cp:lastModifiedBy>Takuya Yamanaka</cp:lastModifiedBy>
  <cp:revision>2</cp:revision>
  <dcterms:created xsi:type="dcterms:W3CDTF">2020-05-23T14:24:00Z</dcterms:created>
  <dcterms:modified xsi:type="dcterms:W3CDTF">2020-05-23T14:24:00Z</dcterms:modified>
</cp:coreProperties>
</file>