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99F7" w14:textId="10E73A26" w:rsidR="0079689B" w:rsidRDefault="00E723E4" w:rsidP="00E805B7">
      <w:pPr>
        <w:pStyle w:val="Heading1"/>
      </w:pPr>
      <w:bookmarkStart w:id="0" w:name="_Toc109246282"/>
      <w:r>
        <w:t xml:space="preserve">Readme: Guide to </w:t>
      </w:r>
      <w:r w:rsidR="00E805B7">
        <w:t>read</w:t>
      </w:r>
      <w:r>
        <w:t>ing</w:t>
      </w:r>
      <w:r w:rsidR="00E805B7">
        <w:t xml:space="preserve"> the code</w:t>
      </w:r>
      <w:bookmarkEnd w:id="0"/>
    </w:p>
    <w:p w14:paraId="0DA8DB2B" w14:textId="77777777" w:rsidR="00E805B7" w:rsidRDefault="00E805B7" w:rsidP="00E805B7"/>
    <w:p w14:paraId="21ECB406" w14:textId="54B62FD7" w:rsidR="00E805B7" w:rsidRDefault="00E805B7" w:rsidP="00E805B7">
      <w:r>
        <w:t xml:space="preserve">The </w:t>
      </w:r>
      <w:proofErr w:type="spellStart"/>
      <w:r>
        <w:t>Matlab</w:t>
      </w:r>
      <w:proofErr w:type="spellEnd"/>
      <w:r>
        <w:t xml:space="preserve"> code uses linear algebra (</w:t>
      </w:r>
      <w:proofErr w:type="gramStart"/>
      <w:r>
        <w:t>i.e.</w:t>
      </w:r>
      <w:proofErr w:type="gramEnd"/>
      <w:r>
        <w:t xml:space="preserve"> a matrix-based approach) for constructing and implementing mathematical models. This approach has several different advantages: it is convenient for looping over stratifications (</w:t>
      </w:r>
      <w:proofErr w:type="gramStart"/>
      <w:r>
        <w:t>e.g.</w:t>
      </w:r>
      <w:proofErr w:type="gramEnd"/>
      <w:r>
        <w:t xml:space="preserve"> HIV status); it takes advantage of the computing efficiencies in programming languages that are optimised for matrix operations (e.g. </w:t>
      </w:r>
      <w:proofErr w:type="spellStart"/>
      <w:r>
        <w:t>Matlab</w:t>
      </w:r>
      <w:proofErr w:type="spellEnd"/>
      <w:r>
        <w:t xml:space="preserve"> or Python); and it allows easy model specification, especially in models having </w:t>
      </w:r>
      <w:r w:rsidR="00112627">
        <w:t xml:space="preserve">many </w:t>
      </w:r>
      <w:r>
        <w:t xml:space="preserve">compartments. The following notes outline some of the key features of the approach, </w:t>
      </w:r>
      <w:proofErr w:type="gramStart"/>
      <w:r>
        <w:t>in order to</w:t>
      </w:r>
      <w:proofErr w:type="gramEnd"/>
      <w:r>
        <w:t xml:space="preserve"> aid understanding of the code. </w:t>
      </w:r>
    </w:p>
    <w:p w14:paraId="10C314E3" w14:textId="77777777" w:rsidR="00E805B7" w:rsidRDefault="00E805B7" w:rsidP="00E805B7"/>
    <w:p w14:paraId="2704FF9D" w14:textId="77777777" w:rsidR="00E805B7" w:rsidRDefault="00E805B7" w:rsidP="00E805B7">
      <w:r>
        <w:t>Note that India has a separate code, in the folder ‘IND/code’. This is the only country where monthly notification data is available separately for public and private sectors, necessitating a slightly different code from the other countries.</w:t>
      </w:r>
    </w:p>
    <w:p w14:paraId="05CEF7E4" w14:textId="77777777" w:rsidR="00E805B7" w:rsidRDefault="00E805B7" w:rsidP="00E805B7"/>
    <w:p w14:paraId="70088EBD" w14:textId="77777777" w:rsidR="00E805B7" w:rsidRDefault="00E805B7" w:rsidP="00E805B7">
      <w:pPr>
        <w:rPr>
          <w:u w:val="single"/>
        </w:rPr>
      </w:pPr>
      <w:r w:rsidRPr="00F6291B">
        <w:rPr>
          <w:u w:val="single"/>
        </w:rPr>
        <w:t>Main scripts</w:t>
      </w:r>
    </w:p>
    <w:p w14:paraId="1358C93F" w14:textId="77777777" w:rsidR="00E805B7" w:rsidRDefault="00E805B7" w:rsidP="00E805B7">
      <w:pPr>
        <w:rPr>
          <w:u w:val="single"/>
        </w:rPr>
      </w:pPr>
    </w:p>
    <w:p w14:paraId="502D2E9B" w14:textId="77777777" w:rsidR="00E805B7" w:rsidRDefault="00E805B7" w:rsidP="00E805B7">
      <w:proofErr w:type="spellStart"/>
      <w:r w:rsidRPr="00091EE3">
        <w:rPr>
          <w:i/>
          <w:iCs/>
        </w:rPr>
        <w:t>Setup_model</w:t>
      </w:r>
      <w:proofErr w:type="spellEnd"/>
      <w:r>
        <w:t xml:space="preserve">: </w:t>
      </w:r>
    </w:p>
    <w:p w14:paraId="7061DD67" w14:textId="77777777" w:rsidR="00E805B7" w:rsidRDefault="00E805B7" w:rsidP="00E805B7">
      <w:pPr>
        <w:ind w:left="720"/>
      </w:pPr>
      <w:r>
        <w:t xml:space="preserve">Sets up all model parameters and reference lists, as well as data to be used for the calibrations. Model parameters are encoded as structures (equivalent to ‘lists’ in R or ‘dictionaries’ in Python), such that the parameter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contains all per-capita rates of transition, and the parameter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contains all proportions.</w:t>
      </w:r>
    </w:p>
    <w:p w14:paraId="7577A43D" w14:textId="77777777" w:rsidR="00E805B7" w:rsidRDefault="00E805B7" w:rsidP="00E805B7"/>
    <w:p w14:paraId="09E4A0B0" w14:textId="09E75642" w:rsidR="00E805B7" w:rsidRDefault="00E805B7" w:rsidP="00E805B7">
      <w:pPr>
        <w:ind w:left="720"/>
        <w:rPr>
          <w:rFonts w:eastAsiaTheme="minorEastAsia"/>
        </w:rPr>
      </w:pPr>
      <w:r>
        <w:t>‘</w:t>
      </w:r>
      <w:r w:rsidR="00112627">
        <w:t>Compartment lookups</w:t>
      </w:r>
      <w:r>
        <w:t xml:space="preserve">’ include </w:t>
      </w:r>
      <w:r w:rsidRPr="003E5727">
        <w:rPr>
          <w:i/>
          <w:iCs/>
        </w:rPr>
        <w:t>s</w:t>
      </w:r>
      <w:r>
        <w:t xml:space="preserve"> and </w:t>
      </w:r>
      <w:proofErr w:type="spellStart"/>
      <w:r w:rsidRPr="003E5727">
        <w:rPr>
          <w:i/>
          <w:iCs/>
        </w:rPr>
        <w:t>i</w:t>
      </w:r>
      <w:proofErr w:type="spellEnd"/>
      <w:r>
        <w:t xml:space="preserve">. The </w:t>
      </w:r>
      <w:r w:rsidR="00112627">
        <w:t>lookup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a Matlab structure recording the compartment number of each state in the model. For example, writing i.U.h1 gives a value of 2, indicating that people who are uninfected with TB, but have HIV, are represented by the 2</w:t>
      </w:r>
      <w:r w:rsidRPr="001B0D71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compartment in the model. This approach is very helpful in keeping track of compartment numbers when constructing model equations (as conducted in ‘</w:t>
      </w:r>
      <w:proofErr w:type="spellStart"/>
      <w:r>
        <w:rPr>
          <w:rFonts w:eastAsiaTheme="minorEastAsia"/>
        </w:rPr>
        <w:t>Make_model</w:t>
      </w:r>
      <w:proofErr w:type="spellEnd"/>
      <w:r>
        <w:rPr>
          <w:rFonts w:eastAsiaTheme="minorEastAsia"/>
        </w:rPr>
        <w:t xml:space="preserve">’, below). </w:t>
      </w:r>
    </w:p>
    <w:p w14:paraId="22F54267" w14:textId="77777777" w:rsidR="00E805B7" w:rsidRDefault="00E805B7" w:rsidP="00E805B7">
      <w:pPr>
        <w:rPr>
          <w:rFonts w:eastAsiaTheme="minorEastAsia"/>
        </w:rPr>
      </w:pPr>
    </w:p>
    <w:p w14:paraId="36012151" w14:textId="3EFD8350" w:rsidR="00E805B7" w:rsidRDefault="00E805B7" w:rsidP="00E805B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12627">
        <w:rPr>
          <w:rFonts w:eastAsiaTheme="minorEastAsia"/>
        </w:rPr>
        <w:t xml:space="preserve">lookup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Matlab structure recording all states belonging to certain sets. For example, </w:t>
      </w:r>
      <w:proofErr w:type="spellStart"/>
      <w:r>
        <w:rPr>
          <w:rFonts w:eastAsiaTheme="minorEastAsia"/>
        </w:rPr>
        <w:t>s.I</w:t>
      </w:r>
      <w:proofErr w:type="spellEnd"/>
      <w:r>
        <w:rPr>
          <w:rFonts w:eastAsiaTheme="minorEastAsia"/>
        </w:rPr>
        <w:t xml:space="preserve"> gives [10 11 12], the compartment numbers of all states that correspond to active TB. It is straightforward to find overlaps between sets: for example, typing ‘</w:t>
      </w:r>
      <w:proofErr w:type="gramStart"/>
      <w:r>
        <w:rPr>
          <w:rFonts w:eastAsiaTheme="minorEastAsia"/>
        </w:rPr>
        <w:t>intersect(</w:t>
      </w:r>
      <w:proofErr w:type="spellStart"/>
      <w:proofErr w:type="gramEnd"/>
      <w:r>
        <w:rPr>
          <w:rFonts w:eastAsiaTheme="minorEastAsia"/>
        </w:rPr>
        <w:t>s.infectious</w:t>
      </w:r>
      <w:proofErr w:type="spellEnd"/>
      <w:r>
        <w:rPr>
          <w:rFonts w:eastAsiaTheme="minorEastAsia"/>
        </w:rPr>
        <w:t xml:space="preserve">, s.h0)’ gives all compartment numbers of states that are HIV-negative, and that are infectious for TB. </w:t>
      </w:r>
    </w:p>
    <w:p w14:paraId="6467E73B" w14:textId="77777777" w:rsidR="00E805B7" w:rsidRDefault="00E805B7" w:rsidP="00E805B7"/>
    <w:p w14:paraId="011EB53A" w14:textId="77777777" w:rsidR="00E805B7" w:rsidRDefault="00E805B7" w:rsidP="00E805B7">
      <w:proofErr w:type="spellStart"/>
      <w:r w:rsidRPr="00091EE3">
        <w:rPr>
          <w:i/>
          <w:iCs/>
        </w:rPr>
        <w:t>Make_model</w:t>
      </w:r>
      <w:proofErr w:type="spellEnd"/>
      <w:r>
        <w:t xml:space="preserve">: </w:t>
      </w:r>
    </w:p>
    <w:p w14:paraId="121B300A" w14:textId="77777777" w:rsidR="00E805B7" w:rsidRDefault="00E805B7" w:rsidP="00E805B7">
      <w:pPr>
        <w:ind w:left="720"/>
      </w:pPr>
      <w:r>
        <w:t xml:space="preserve">Given all model parameters and reference lists, constructs matrices to encode the model. This code outputs different matrices under the </w:t>
      </w:r>
      <w:proofErr w:type="spellStart"/>
      <w:r>
        <w:t>Matlab</w:t>
      </w:r>
      <w:proofErr w:type="spellEnd"/>
      <w:r>
        <w:t xml:space="preserve"> structure M, as follows:</w:t>
      </w:r>
    </w:p>
    <w:p w14:paraId="380EAB6D" w14:textId="77777777" w:rsidR="00E805B7" w:rsidRDefault="00E805B7" w:rsidP="00E805B7"/>
    <w:p w14:paraId="25D357FE" w14:textId="77777777" w:rsidR="00E805B7" w:rsidRDefault="00E805B7" w:rsidP="00E805B7">
      <w:pPr>
        <w:ind w:left="720"/>
      </w:pPr>
      <w:proofErr w:type="spellStart"/>
      <w:r>
        <w:t>M.lin</w:t>
      </w:r>
      <w:proofErr w:type="spellEnd"/>
      <w:r>
        <w:t xml:space="preserve"> is a matrix capturing all linear transitions (that is, those where per-capita rates of transition are not state-dependent). Generally, these include all transitions apart from the force-of-infection. The construction of </w:t>
      </w:r>
      <w:proofErr w:type="spellStart"/>
      <w:r>
        <w:t>M.lin</w:t>
      </w:r>
      <w:proofErr w:type="spellEnd"/>
      <w:r>
        <w:t xml:space="preserve"> loops over the different strata in the model, relating to HIV status and public/private sectors. For each transition, originating compartments are referred to as ‘source’ while receiving compartments are referred to as ‘</w:t>
      </w:r>
      <w:proofErr w:type="spellStart"/>
      <w:r>
        <w:t>destin</w:t>
      </w:r>
      <w:proofErr w:type="spellEnd"/>
      <w:r>
        <w:t xml:space="preserve">’ (for ‘destination’). </w:t>
      </w:r>
    </w:p>
    <w:p w14:paraId="37E36FE9" w14:textId="77777777" w:rsidR="00E805B7" w:rsidRDefault="00E805B7" w:rsidP="00E805B7"/>
    <w:p w14:paraId="2B48FFCF" w14:textId="77777777" w:rsidR="00E805B7" w:rsidRDefault="00E805B7" w:rsidP="00E805B7">
      <w:pPr>
        <w:ind w:left="720"/>
      </w:pPr>
      <w:r>
        <w:t>The process of infection, being the only nonlinearity in the model, requires two matrices to be fully specified: one to calculate the force-of-infection (</w:t>
      </w:r>
      <w:proofErr w:type="spellStart"/>
      <w:r>
        <w:t>M.lam</w:t>
      </w:r>
      <w:proofErr w:type="spellEnd"/>
      <w:r>
        <w:t>) and the other to identify the source and destination compartments for all transitions arising from infection (</w:t>
      </w:r>
      <w:proofErr w:type="spellStart"/>
      <w:proofErr w:type="gramStart"/>
      <w:r>
        <w:t>M.nlin</w:t>
      </w:r>
      <w:proofErr w:type="spellEnd"/>
      <w:proofErr w:type="gramEnd"/>
      <w:r>
        <w:t xml:space="preserve">): for example, from uninfected to latent ‘fast’ status. Finally, the matrix </w:t>
      </w:r>
      <w:proofErr w:type="spellStart"/>
      <w:proofErr w:type="gramStart"/>
      <w:r>
        <w:t>M.lambda</w:t>
      </w:r>
      <w:proofErr w:type="spellEnd"/>
      <w:proofErr w:type="gramEnd"/>
      <w:r>
        <w:t xml:space="preserve"> calculates the force-of-infection by combining all infectious compartments with their infectivity, and summing.  </w:t>
      </w:r>
    </w:p>
    <w:p w14:paraId="2A8A6A96" w14:textId="77777777" w:rsidR="00E805B7" w:rsidRDefault="00E805B7" w:rsidP="00E805B7"/>
    <w:p w14:paraId="1B27D3C9" w14:textId="77777777" w:rsidR="00E805B7" w:rsidRDefault="00E805B7" w:rsidP="00E805B7">
      <w:r>
        <w:rPr>
          <w:i/>
          <w:iCs/>
        </w:rPr>
        <w:t>g</w:t>
      </w:r>
      <w:r w:rsidRPr="00DD6F87">
        <w:rPr>
          <w:i/>
          <w:iCs/>
        </w:rPr>
        <w:t>et_objective2D</w:t>
      </w:r>
      <w:r>
        <w:t>:</w:t>
      </w:r>
    </w:p>
    <w:p w14:paraId="61F490F2" w14:textId="77777777" w:rsidR="00E805B7" w:rsidRDefault="00E805B7" w:rsidP="00E805B7">
      <w:pPr>
        <w:ind w:left="720"/>
      </w:pPr>
      <w:r>
        <w:t xml:space="preserve">For a given parameter set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simulate the TB epidemic until 2019, and compare with data to provide the log-posterior density (‘out’). Secondary outputs (‘aux’) list some key results of the model simulation. </w:t>
      </w:r>
    </w:p>
    <w:p w14:paraId="7E698653" w14:textId="77777777" w:rsidR="00E805B7" w:rsidRDefault="00E805B7" w:rsidP="00E805B7"/>
    <w:p w14:paraId="31532C5E" w14:textId="77777777" w:rsidR="00E805B7" w:rsidRDefault="00E805B7" w:rsidP="00E805B7">
      <w:proofErr w:type="spellStart"/>
      <w:r w:rsidRPr="00DD6F87">
        <w:rPr>
          <w:i/>
          <w:iCs/>
        </w:rPr>
        <w:t>Get_calibrations</w:t>
      </w:r>
      <w:proofErr w:type="spellEnd"/>
      <w:r>
        <w:t xml:space="preserve">: </w:t>
      </w:r>
    </w:p>
    <w:p w14:paraId="5ED9E2B2" w14:textId="77777777" w:rsidR="00E805B7" w:rsidRDefault="00E805B7" w:rsidP="00E805B7">
      <w:pPr>
        <w:ind w:left="720"/>
      </w:pPr>
      <w:r>
        <w:t xml:space="preserve">Performs the MCMC calibrations, using </w:t>
      </w:r>
      <w:r w:rsidRPr="00386D87">
        <w:rPr>
          <w:i/>
          <w:iCs/>
        </w:rPr>
        <w:t>get_objective</w:t>
      </w:r>
      <w:r>
        <w:rPr>
          <w:i/>
          <w:iCs/>
        </w:rPr>
        <w:t>2D</w:t>
      </w:r>
      <w:r>
        <w:t xml:space="preserve"> to evaluate posterior densities. This code first draws 10^4 parameter sets, and then chooses the three best-performing parameter sets as starting points for MCMC. The actual MCMC algorithm is conducted using adaptive Bayesian MCMC.  </w:t>
      </w:r>
    </w:p>
    <w:p w14:paraId="67DAAA9E" w14:textId="77777777" w:rsidR="00E805B7" w:rsidRDefault="00E805B7" w:rsidP="00E805B7"/>
    <w:p w14:paraId="4AD05513" w14:textId="77777777" w:rsidR="00E805B7" w:rsidRPr="00DD6F87" w:rsidRDefault="00E805B7" w:rsidP="00E805B7">
      <w:pPr>
        <w:rPr>
          <w:i/>
          <w:iCs/>
        </w:rPr>
      </w:pPr>
      <w:proofErr w:type="spellStart"/>
      <w:r w:rsidRPr="00DD6F87">
        <w:rPr>
          <w:i/>
          <w:iCs/>
        </w:rPr>
        <w:t>Simulate_disruptions</w:t>
      </w:r>
      <w:proofErr w:type="spellEnd"/>
      <w:r w:rsidRPr="00DD6F87">
        <w:rPr>
          <w:i/>
          <w:iCs/>
        </w:rPr>
        <w:t>:</w:t>
      </w:r>
    </w:p>
    <w:p w14:paraId="173C90CD" w14:textId="6DDC5A12" w:rsidR="00E805B7" w:rsidRPr="00E37B9A" w:rsidRDefault="00E805B7" w:rsidP="00E37B9A">
      <w:pPr>
        <w:ind w:left="720"/>
        <w:rPr>
          <w:rFonts w:eastAsiaTheme="minorEastAsia"/>
        </w:rPr>
      </w:pPr>
      <w:r>
        <w:t xml:space="preserve">Using the posterior sample from </w:t>
      </w:r>
      <w:proofErr w:type="spellStart"/>
      <w:r w:rsidRPr="008C5EFA">
        <w:rPr>
          <w:i/>
          <w:iCs/>
        </w:rPr>
        <w:t>Get_calibrations</w:t>
      </w:r>
      <w:proofErr w:type="spellEnd"/>
      <w:r>
        <w:t xml:space="preserve">, simulate notifications during the period of COVID-related disruption, and compare with data. This is the code used to identify the timeseries for </w:t>
      </w:r>
      <m:oMath>
        <m:r>
          <w:rPr>
            <w:rFonts w:ascii="Cambria Math" w:hAnsi="Cambria Math"/>
          </w:rPr>
          <m:t>k(t)</m:t>
        </m:r>
      </m:oMath>
      <w:r>
        <w:rPr>
          <w:rFonts w:eastAsiaTheme="minorEastAsia"/>
        </w:rPr>
        <w:t>, which captures COVID-related disruptions to TB services.</w:t>
      </w:r>
      <w:r w:rsidR="00E37B9A">
        <w:rPr>
          <w:rFonts w:eastAsiaTheme="minorEastAsia"/>
        </w:rPr>
        <w:t xml:space="preserve"> This code also provides projections to 2030, </w:t>
      </w:r>
      <w:proofErr w:type="gramStart"/>
      <w:r>
        <w:rPr>
          <w:rFonts w:eastAsiaTheme="minorEastAsia"/>
        </w:rPr>
        <w:t>assuming that</w:t>
      </w:r>
      <w:proofErr w:type="gramEnd"/>
      <w:r>
        <w:rPr>
          <w:rFonts w:eastAsiaTheme="minorEastAsia"/>
        </w:rPr>
        <w:t xml:space="preserve"> TB services recover to normal immediately after the last available data point. </w:t>
      </w:r>
      <w:r w:rsidR="009A232B">
        <w:rPr>
          <w:rFonts w:eastAsiaTheme="minorEastAsia"/>
        </w:rPr>
        <w:t xml:space="preserve">(Although </w:t>
      </w:r>
      <w:r>
        <w:rPr>
          <w:rFonts w:eastAsiaTheme="minorEastAsia"/>
        </w:rPr>
        <w:t>artificial</w:t>
      </w:r>
      <w:r w:rsidR="009A232B">
        <w:rPr>
          <w:rFonts w:eastAsiaTheme="minorEastAsia"/>
        </w:rPr>
        <w:t xml:space="preserve">, this assumption serves to </w:t>
      </w:r>
      <w:r>
        <w:rPr>
          <w:rFonts w:eastAsiaTheme="minorEastAsia"/>
        </w:rPr>
        <w:t>isolates the effects of the disruptions that have been observed so far.</w:t>
      </w:r>
      <w:r w:rsidR="009A232B">
        <w:rPr>
          <w:rFonts w:eastAsiaTheme="minorEastAsia"/>
        </w:rPr>
        <w:t>)</w:t>
      </w:r>
    </w:p>
    <w:p w14:paraId="098BD9B3" w14:textId="77777777" w:rsidR="00E805B7" w:rsidRDefault="00E805B7" w:rsidP="00E805B7"/>
    <w:p w14:paraId="117A54FE" w14:textId="15AC95C7" w:rsidR="00E805B7" w:rsidRDefault="00E805B7" w:rsidP="000849E6"/>
    <w:p w14:paraId="18FAA918" w14:textId="74EFB280" w:rsidR="000849E6" w:rsidRDefault="000849E6" w:rsidP="000849E6">
      <w:r>
        <w:t xml:space="preserve">All scripts </w:t>
      </w:r>
      <w:r>
        <w:t xml:space="preserve">with </w:t>
      </w:r>
      <w:r>
        <w:t xml:space="preserve">'Batch' </w:t>
      </w:r>
      <w:r>
        <w:t xml:space="preserve">in the title </w:t>
      </w:r>
      <w:r>
        <w:t>execute codes for a batch of countries, creating</w:t>
      </w:r>
      <w:r>
        <w:t xml:space="preserve"> </w:t>
      </w:r>
      <w:r>
        <w:t>outputs that can be read into Excel files for sharing.</w:t>
      </w:r>
    </w:p>
    <w:p w14:paraId="2A9FC107" w14:textId="4DBCEC01" w:rsidR="000849E6" w:rsidRDefault="000849E6" w:rsidP="000849E6"/>
    <w:p w14:paraId="63B6C09F" w14:textId="6634ACB8" w:rsidR="000849E6" w:rsidRDefault="000849E6" w:rsidP="000849E6">
      <w:r>
        <w:t xml:space="preserve">All </w:t>
      </w:r>
      <w:r>
        <w:t xml:space="preserve">scripts with </w:t>
      </w:r>
      <w:r>
        <w:t xml:space="preserve">'Collate' </w:t>
      </w:r>
      <w:r>
        <w:t xml:space="preserve">in the title </w:t>
      </w:r>
      <w:r>
        <w:t xml:space="preserve">construct </w:t>
      </w:r>
      <w:r w:rsidR="00CD73E4">
        <w:t xml:space="preserve">final </w:t>
      </w:r>
      <w:r>
        <w:t>tables of outputs</w:t>
      </w:r>
      <w:r w:rsidR="00983642">
        <w:t xml:space="preserve"> </w:t>
      </w:r>
      <w:r>
        <w:t>for a batch of</w:t>
      </w:r>
      <w:r>
        <w:t xml:space="preserve"> </w:t>
      </w:r>
      <w:r>
        <w:t>countries.</w:t>
      </w:r>
    </w:p>
    <w:p w14:paraId="7A98703B" w14:textId="77777777" w:rsidR="00E805B7" w:rsidRPr="000B2A32" w:rsidRDefault="00E805B7" w:rsidP="000849E6">
      <w:pPr>
        <w:widowControl w:val="0"/>
        <w:autoSpaceDE w:val="0"/>
        <w:autoSpaceDN w:val="0"/>
        <w:adjustRightInd w:val="0"/>
        <w:ind w:left="640" w:hanging="640"/>
        <w:jc w:val="center"/>
        <w:rPr>
          <w:b/>
          <w:bCs/>
        </w:rPr>
      </w:pPr>
    </w:p>
    <w:sectPr w:rsidR="00E805B7" w:rsidRPr="000B2A32" w:rsidSect="00D30E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2C"/>
    <w:multiLevelType w:val="hybridMultilevel"/>
    <w:tmpl w:val="3CDADE56"/>
    <w:lvl w:ilvl="0" w:tplc="75BE7DC4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1B"/>
    <w:rsid w:val="00005E4A"/>
    <w:rsid w:val="00011765"/>
    <w:rsid w:val="0001614D"/>
    <w:rsid w:val="000178CA"/>
    <w:rsid w:val="00026939"/>
    <w:rsid w:val="00057023"/>
    <w:rsid w:val="0006473E"/>
    <w:rsid w:val="000849E6"/>
    <w:rsid w:val="00086857"/>
    <w:rsid w:val="00091EE3"/>
    <w:rsid w:val="000B2A32"/>
    <w:rsid w:val="000B6DED"/>
    <w:rsid w:val="000D2C34"/>
    <w:rsid w:val="000D4841"/>
    <w:rsid w:val="000D6423"/>
    <w:rsid w:val="000D6F69"/>
    <w:rsid w:val="000D7154"/>
    <w:rsid w:val="000E0188"/>
    <w:rsid w:val="000E7A78"/>
    <w:rsid w:val="001004AC"/>
    <w:rsid w:val="001079AF"/>
    <w:rsid w:val="00112627"/>
    <w:rsid w:val="00112E95"/>
    <w:rsid w:val="00115653"/>
    <w:rsid w:val="00120D7A"/>
    <w:rsid w:val="00124695"/>
    <w:rsid w:val="00125FD2"/>
    <w:rsid w:val="001300CE"/>
    <w:rsid w:val="00131C65"/>
    <w:rsid w:val="00132B1E"/>
    <w:rsid w:val="001633AA"/>
    <w:rsid w:val="001817FE"/>
    <w:rsid w:val="00197825"/>
    <w:rsid w:val="001A5BDC"/>
    <w:rsid w:val="001B0D71"/>
    <w:rsid w:val="001C7F50"/>
    <w:rsid w:val="001E2152"/>
    <w:rsid w:val="001E72CD"/>
    <w:rsid w:val="001F0A30"/>
    <w:rsid w:val="001F1AB3"/>
    <w:rsid w:val="001F261E"/>
    <w:rsid w:val="00202AE7"/>
    <w:rsid w:val="002102C0"/>
    <w:rsid w:val="0021231A"/>
    <w:rsid w:val="002134AD"/>
    <w:rsid w:val="00214934"/>
    <w:rsid w:val="002170F1"/>
    <w:rsid w:val="00217D37"/>
    <w:rsid w:val="00221EEB"/>
    <w:rsid w:val="00243FA7"/>
    <w:rsid w:val="002555CB"/>
    <w:rsid w:val="00256A75"/>
    <w:rsid w:val="00261323"/>
    <w:rsid w:val="00264EC1"/>
    <w:rsid w:val="0029772B"/>
    <w:rsid w:val="002A7D7B"/>
    <w:rsid w:val="002B2CE7"/>
    <w:rsid w:val="002C6E4A"/>
    <w:rsid w:val="002E4A5E"/>
    <w:rsid w:val="002E4F0E"/>
    <w:rsid w:val="0030521A"/>
    <w:rsid w:val="00312625"/>
    <w:rsid w:val="00316D16"/>
    <w:rsid w:val="00320AA1"/>
    <w:rsid w:val="0033423D"/>
    <w:rsid w:val="003861F5"/>
    <w:rsid w:val="00386530"/>
    <w:rsid w:val="00386D87"/>
    <w:rsid w:val="0039181D"/>
    <w:rsid w:val="00397101"/>
    <w:rsid w:val="003A7E40"/>
    <w:rsid w:val="003C1CD3"/>
    <w:rsid w:val="003C32E1"/>
    <w:rsid w:val="003D402A"/>
    <w:rsid w:val="003D74B4"/>
    <w:rsid w:val="003E1D7C"/>
    <w:rsid w:val="003E3FA5"/>
    <w:rsid w:val="003E5727"/>
    <w:rsid w:val="004155FD"/>
    <w:rsid w:val="00421E33"/>
    <w:rsid w:val="00434A4C"/>
    <w:rsid w:val="0043718B"/>
    <w:rsid w:val="0044041D"/>
    <w:rsid w:val="00460495"/>
    <w:rsid w:val="00467ECF"/>
    <w:rsid w:val="004761FE"/>
    <w:rsid w:val="00477653"/>
    <w:rsid w:val="004814A1"/>
    <w:rsid w:val="004831D1"/>
    <w:rsid w:val="00485D23"/>
    <w:rsid w:val="0048751B"/>
    <w:rsid w:val="00491DF0"/>
    <w:rsid w:val="004A3A1C"/>
    <w:rsid w:val="004B6D7B"/>
    <w:rsid w:val="004D43DE"/>
    <w:rsid w:val="005018C1"/>
    <w:rsid w:val="00527638"/>
    <w:rsid w:val="005335CF"/>
    <w:rsid w:val="005427C2"/>
    <w:rsid w:val="00562659"/>
    <w:rsid w:val="005A23FB"/>
    <w:rsid w:val="005A240B"/>
    <w:rsid w:val="005B0811"/>
    <w:rsid w:val="005B6B0A"/>
    <w:rsid w:val="005F6223"/>
    <w:rsid w:val="00615FDC"/>
    <w:rsid w:val="006168C7"/>
    <w:rsid w:val="0063691C"/>
    <w:rsid w:val="006461DB"/>
    <w:rsid w:val="006642A8"/>
    <w:rsid w:val="006727C2"/>
    <w:rsid w:val="00673321"/>
    <w:rsid w:val="00676149"/>
    <w:rsid w:val="00676990"/>
    <w:rsid w:val="00676C3E"/>
    <w:rsid w:val="0068720C"/>
    <w:rsid w:val="006928F0"/>
    <w:rsid w:val="006A42F6"/>
    <w:rsid w:val="006A7FE7"/>
    <w:rsid w:val="006B47A7"/>
    <w:rsid w:val="006C7B08"/>
    <w:rsid w:val="006D542B"/>
    <w:rsid w:val="006E4844"/>
    <w:rsid w:val="006E703C"/>
    <w:rsid w:val="00704FFF"/>
    <w:rsid w:val="00705387"/>
    <w:rsid w:val="00710B33"/>
    <w:rsid w:val="007168B3"/>
    <w:rsid w:val="00717822"/>
    <w:rsid w:val="007461FB"/>
    <w:rsid w:val="00752152"/>
    <w:rsid w:val="00753BBD"/>
    <w:rsid w:val="007614A0"/>
    <w:rsid w:val="00765E8A"/>
    <w:rsid w:val="007942FC"/>
    <w:rsid w:val="0079689B"/>
    <w:rsid w:val="007A5EEE"/>
    <w:rsid w:val="007B0D07"/>
    <w:rsid w:val="007C0F17"/>
    <w:rsid w:val="007C70D7"/>
    <w:rsid w:val="007D7862"/>
    <w:rsid w:val="007F1CCA"/>
    <w:rsid w:val="00801DAF"/>
    <w:rsid w:val="00806554"/>
    <w:rsid w:val="00807370"/>
    <w:rsid w:val="00810818"/>
    <w:rsid w:val="00815D29"/>
    <w:rsid w:val="00823C30"/>
    <w:rsid w:val="00867F44"/>
    <w:rsid w:val="00870296"/>
    <w:rsid w:val="00885899"/>
    <w:rsid w:val="008930A3"/>
    <w:rsid w:val="00897114"/>
    <w:rsid w:val="008A043A"/>
    <w:rsid w:val="008B2488"/>
    <w:rsid w:val="008C22BE"/>
    <w:rsid w:val="008C2646"/>
    <w:rsid w:val="008C3E34"/>
    <w:rsid w:val="008C5EFA"/>
    <w:rsid w:val="008D07AB"/>
    <w:rsid w:val="008D2774"/>
    <w:rsid w:val="008E4AAE"/>
    <w:rsid w:val="008E59BB"/>
    <w:rsid w:val="008F51CE"/>
    <w:rsid w:val="00900AC5"/>
    <w:rsid w:val="009021A2"/>
    <w:rsid w:val="0090505A"/>
    <w:rsid w:val="0091142A"/>
    <w:rsid w:val="00912682"/>
    <w:rsid w:val="00916EAD"/>
    <w:rsid w:val="00957DD4"/>
    <w:rsid w:val="00962BB7"/>
    <w:rsid w:val="00964B9B"/>
    <w:rsid w:val="00966BA6"/>
    <w:rsid w:val="00967262"/>
    <w:rsid w:val="0098169E"/>
    <w:rsid w:val="00983642"/>
    <w:rsid w:val="009A0251"/>
    <w:rsid w:val="009A232B"/>
    <w:rsid w:val="009A4CC8"/>
    <w:rsid w:val="009A504D"/>
    <w:rsid w:val="009B2200"/>
    <w:rsid w:val="009B26D5"/>
    <w:rsid w:val="009B5FA0"/>
    <w:rsid w:val="009C03DD"/>
    <w:rsid w:val="009D0060"/>
    <w:rsid w:val="00A01F72"/>
    <w:rsid w:val="00A071E9"/>
    <w:rsid w:val="00A11BB4"/>
    <w:rsid w:val="00A203CD"/>
    <w:rsid w:val="00A2319B"/>
    <w:rsid w:val="00A23841"/>
    <w:rsid w:val="00A27B3C"/>
    <w:rsid w:val="00A4377E"/>
    <w:rsid w:val="00A43B53"/>
    <w:rsid w:val="00A474C2"/>
    <w:rsid w:val="00A523B8"/>
    <w:rsid w:val="00A649C8"/>
    <w:rsid w:val="00A650A4"/>
    <w:rsid w:val="00A740C7"/>
    <w:rsid w:val="00A86A83"/>
    <w:rsid w:val="00A903D5"/>
    <w:rsid w:val="00A9588D"/>
    <w:rsid w:val="00AB2558"/>
    <w:rsid w:val="00AB555F"/>
    <w:rsid w:val="00AC7EB9"/>
    <w:rsid w:val="00AD49EB"/>
    <w:rsid w:val="00AE2225"/>
    <w:rsid w:val="00AE6CF2"/>
    <w:rsid w:val="00AF22EE"/>
    <w:rsid w:val="00AF291F"/>
    <w:rsid w:val="00B0047C"/>
    <w:rsid w:val="00B0105C"/>
    <w:rsid w:val="00B03977"/>
    <w:rsid w:val="00B17E26"/>
    <w:rsid w:val="00B2462E"/>
    <w:rsid w:val="00B36DF5"/>
    <w:rsid w:val="00B67486"/>
    <w:rsid w:val="00B933A7"/>
    <w:rsid w:val="00B93C39"/>
    <w:rsid w:val="00B94C1F"/>
    <w:rsid w:val="00BA2F4D"/>
    <w:rsid w:val="00BB178E"/>
    <w:rsid w:val="00BC058B"/>
    <w:rsid w:val="00BC5B1D"/>
    <w:rsid w:val="00BE596B"/>
    <w:rsid w:val="00BF21AB"/>
    <w:rsid w:val="00BF37A9"/>
    <w:rsid w:val="00C01C50"/>
    <w:rsid w:val="00C123B8"/>
    <w:rsid w:val="00C2246A"/>
    <w:rsid w:val="00C32FD9"/>
    <w:rsid w:val="00C37FA6"/>
    <w:rsid w:val="00C4032D"/>
    <w:rsid w:val="00C45579"/>
    <w:rsid w:val="00C50BEF"/>
    <w:rsid w:val="00C546E7"/>
    <w:rsid w:val="00C665FB"/>
    <w:rsid w:val="00C80DF7"/>
    <w:rsid w:val="00C80EC1"/>
    <w:rsid w:val="00C95199"/>
    <w:rsid w:val="00C96BE7"/>
    <w:rsid w:val="00CB1A30"/>
    <w:rsid w:val="00CC257A"/>
    <w:rsid w:val="00CD33E5"/>
    <w:rsid w:val="00CD6614"/>
    <w:rsid w:val="00CD73E4"/>
    <w:rsid w:val="00CE3C53"/>
    <w:rsid w:val="00CF2471"/>
    <w:rsid w:val="00CF2B7A"/>
    <w:rsid w:val="00D17EAF"/>
    <w:rsid w:val="00D30E39"/>
    <w:rsid w:val="00D3334D"/>
    <w:rsid w:val="00D343FB"/>
    <w:rsid w:val="00D375B2"/>
    <w:rsid w:val="00D41DE4"/>
    <w:rsid w:val="00D42CBB"/>
    <w:rsid w:val="00D52CB5"/>
    <w:rsid w:val="00D63259"/>
    <w:rsid w:val="00D828A0"/>
    <w:rsid w:val="00D83EB4"/>
    <w:rsid w:val="00D85213"/>
    <w:rsid w:val="00D95FF9"/>
    <w:rsid w:val="00DA064D"/>
    <w:rsid w:val="00DA1E40"/>
    <w:rsid w:val="00DC554C"/>
    <w:rsid w:val="00DD6F87"/>
    <w:rsid w:val="00DF1613"/>
    <w:rsid w:val="00DF4AA9"/>
    <w:rsid w:val="00DF7EB7"/>
    <w:rsid w:val="00E005DD"/>
    <w:rsid w:val="00E03890"/>
    <w:rsid w:val="00E200FB"/>
    <w:rsid w:val="00E37B9A"/>
    <w:rsid w:val="00E61D3F"/>
    <w:rsid w:val="00E6394C"/>
    <w:rsid w:val="00E66593"/>
    <w:rsid w:val="00E723E4"/>
    <w:rsid w:val="00E73993"/>
    <w:rsid w:val="00E805B7"/>
    <w:rsid w:val="00E831C5"/>
    <w:rsid w:val="00E84DE1"/>
    <w:rsid w:val="00E92690"/>
    <w:rsid w:val="00EB1061"/>
    <w:rsid w:val="00EB2352"/>
    <w:rsid w:val="00EB7097"/>
    <w:rsid w:val="00EC00EB"/>
    <w:rsid w:val="00EC13E8"/>
    <w:rsid w:val="00EC2577"/>
    <w:rsid w:val="00ED0BF0"/>
    <w:rsid w:val="00EE2481"/>
    <w:rsid w:val="00EE54D0"/>
    <w:rsid w:val="00EF0FEB"/>
    <w:rsid w:val="00EF5A6A"/>
    <w:rsid w:val="00F1365E"/>
    <w:rsid w:val="00F23D47"/>
    <w:rsid w:val="00F32195"/>
    <w:rsid w:val="00F4606E"/>
    <w:rsid w:val="00F461C7"/>
    <w:rsid w:val="00F6291B"/>
    <w:rsid w:val="00F670F6"/>
    <w:rsid w:val="00F739E2"/>
    <w:rsid w:val="00F84978"/>
    <w:rsid w:val="00F933A4"/>
    <w:rsid w:val="00F97F07"/>
    <w:rsid w:val="00FA29B9"/>
    <w:rsid w:val="00FB39B7"/>
    <w:rsid w:val="00FC075A"/>
    <w:rsid w:val="00FC1484"/>
    <w:rsid w:val="00FC1A58"/>
    <w:rsid w:val="00FC2FB1"/>
    <w:rsid w:val="00FC647E"/>
    <w:rsid w:val="00FE05C5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50FA"/>
  <w15:chartTrackingRefBased/>
  <w15:docId w15:val="{B3C12911-4D88-DD4E-9DED-47F06C9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727"/>
    <w:rPr>
      <w:color w:val="808080"/>
    </w:rPr>
  </w:style>
  <w:style w:type="table" w:styleId="TableGrid">
    <w:name w:val="Table Grid"/>
    <w:basedOn w:val="TableNormal"/>
    <w:uiPriority w:val="39"/>
    <w:rsid w:val="00B6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6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6D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B6D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4B6D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B6D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776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77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E0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269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69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926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2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269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269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269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269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269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269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2690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74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4BD442-2374-754E-BCE1-8EE538AE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Arinaminpathy, Nim</dc:creator>
  <cp:keywords/>
  <dc:description/>
  <cp:lastModifiedBy>Arinaminpathy, Nim</cp:lastModifiedBy>
  <cp:revision>9</cp:revision>
  <dcterms:created xsi:type="dcterms:W3CDTF">2022-09-30T20:03:00Z</dcterms:created>
  <dcterms:modified xsi:type="dcterms:W3CDTF">2022-10-03T09:04:00Z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616619f5-dbfd-3ab1-a065-37bec2feb27b</vt:lpwstr>
  </property>
  <property fmtid="{D5CDD505-2E9C-101B-9397-08002B2CF9AE}" pid="4" name="Mendeley Citation Style_1">
    <vt:lpwstr>http://www.zotero.org/styles/bmj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http://www.zotero.org/styles/bmj</vt:lpwstr>
  </property>
  <property fmtid="{D5CDD505-2E9C-101B-9397-08002B2CF9AE}" pid="8" name="Mendeley Recent Style Name 1_1">
    <vt:lpwstr>BMJ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http://www.zotero.org/styles/plos-medicine</vt:lpwstr>
  </property>
  <property fmtid="{D5CDD505-2E9C-101B-9397-08002B2CF9AE}" pid="20" name="Mendeley Recent Style Name 7_1">
    <vt:lpwstr>PLOS Medicine</vt:lpwstr>
  </property>
  <property fmtid="{D5CDD505-2E9C-101B-9397-08002B2CF9AE}" pid="21" name="Mendeley Recent Style Id 8_1">
    <vt:lpwstr>http://www.zotero.org/styles/pnas</vt:lpwstr>
  </property>
  <property fmtid="{D5CDD505-2E9C-101B-9397-08002B2CF9AE}" pid="22" name="Mendeley Recent Style Name 8_1">
    <vt:lpwstr>Proceedings of the National Academy of Sciences of the United States of America</vt:lpwstr>
  </property>
  <property fmtid="{D5CDD505-2E9C-101B-9397-08002B2CF9AE}" pid="23" name="Mendeley Recent Style Id 9_1">
    <vt:lpwstr>http://www.zotero.org/styles/science</vt:lpwstr>
  </property>
  <property fmtid="{D5CDD505-2E9C-101B-9397-08002B2CF9AE}" pid="24" name="Mendeley Recent Style Name 9_1">
    <vt:lpwstr>Science</vt:lpwstr>
  </property>
</Properties>
</file>