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A0A0A"/>
          <w:sz w:val="60"/>
        </w:rPr>
        <w:t>DSR Portal</w:t>
      </w:r>
    </w:p>
    <w:p>
      <w:pPr>
        <w:jc w:val="center"/>
      </w:pPr>
      <w:r>
        <w:rPr>
          <w:color w:val="555555"/>
          <w:sz w:val="26"/>
        </w:rPr>
        <w:t>Developer Handbook</w:t>
      </w:r>
    </w:p>
    <w:p/>
    <w:p>
      <w:pPr>
        <w:jc w:val="center"/>
      </w:pPr>
      <w:r>
        <w:rPr>
          <w:b/>
          <w:color w:val="6F5900"/>
          <w:sz w:val="20"/>
        </w:rPr>
        <w:t>Architecture, source map, pipelines and operations</w:t>
      </w:r>
    </w:p>
    <w:p>
      <w:pPr>
        <w:jc w:val="center"/>
      </w:pPr>
      <w:r>
        <w:rPr>
          <w:color w:val="8A8A85"/>
          <w:sz w:val="18"/>
        </w:rPr>
        <w:t>Version 1.0  ·  20 August 2026</w:t>
      </w:r>
    </w:p>
    <w:p>
      <w:r>
        <w:br w:type="page"/>
      </w:r>
    </w:p>
    <w:p>
      <w:pPr>
        <w:pStyle w:val="Heading1"/>
      </w:pPr>
      <w:r>
        <w:t>Contents</w:t>
      </w:r>
    </w:p>
    <w:p>
      <w:fldSimple w:instr="TOC \o &quot;1-3&quot; \h \z \u">
        <w:r>
          <w:t>Right-click here and choose Update Field to build the contents.</w:t>
        </w:r>
      </w:fldSimple>
    </w:p>
    <w:p>
      <w:pPr>
        <w:pStyle w:val="Caption2"/>
      </w:pPr>
      <w:r>
        <w:t>If the list above is empty, click it once and press F9 to populate it.</w:t>
      </w:r>
    </w:p>
    <w:p>
      <w:r>
        <w:br w:type="page"/>
      </w:r>
    </w:p>
    <w:p>
      <w:pPr>
        <w:pStyle w:val="Heading1"/>
      </w:pPr>
      <w:r>
        <w:t>1. Architecture</w:t>
      </w:r>
    </w:p>
    <w:p>
      <w:pPr>
        <w:pStyle w:val="Heading2"/>
      </w:pPr>
      <w:r>
        <w:t>1.1 The shape of the system</w:t>
      </w:r>
    </w:p>
    <w:p>
      <w:r>
        <w:rPr>
          <w:b w:val="0"/>
        </w:rPr>
        <w:t>Three deployable pieces sit behind one nginx instance. The API is the only component that talks to the database, and it is bound to the loopback interface, so nginx is the single public entrance.</w:t>
      </w:r>
    </w:p>
    <w:p>
      <w:pPr>
        <w:pStyle w:val="CodeBlock"/>
      </w:pPr>
      <w:r>
        <w:t xml:space="preserve">                         ┌──────────────────────────────┐</w:t>
      </w:r>
    </w:p>
    <w:p>
      <w:pPr>
        <w:pStyle w:val="CodeBlock"/>
      </w:pPr>
      <w:r>
        <w:t xml:space="preserve">   data subject ───────► │  nginx  :80                  │</w:t>
      </w:r>
    </w:p>
    <w:p>
      <w:pPr>
        <w:pStyle w:val="CodeBlock"/>
      </w:pPr>
      <w:r>
        <w:t xml:space="preserve">                         │  ├─ /            public SPA  │  static files</w:t>
      </w:r>
    </w:p>
    <w:p>
      <w:pPr>
        <w:pStyle w:val="CodeBlock"/>
      </w:pPr>
      <w:r>
        <w:t xml:space="preserve">   privacy team ───────► │  ├─ /admin       admin SPA   │  static files</w:t>
      </w:r>
    </w:p>
    <w:p>
      <w:pPr>
        <w:pStyle w:val="CodeBlock"/>
      </w:pPr>
      <w:r>
        <w:t xml:space="preserve">                         │  ├─ /public/*  ─┐            │</w:t>
      </w:r>
    </w:p>
    <w:p>
      <w:pPr>
        <w:pStyle w:val="CodeBlock"/>
      </w:pPr>
      <w:r>
        <w:t xml:space="preserve">                         │  └─ /internal/*─┴─ proxy ────┼──► API :3000 (loopback)</w:t>
      </w:r>
    </w:p>
    <w:p>
      <w:pPr>
        <w:pStyle w:val="CodeBlock"/>
      </w:pPr>
      <w:r>
        <w:t xml:space="preserve">                         └──────────────────────────────┘        │</w:t>
      </w:r>
    </w:p>
    <w:p>
      <w:pPr>
        <w:pStyle w:val="CodeBlock"/>
      </w:pPr>
      <w:r>
        <w:t xml:space="preserve">                                                                  │ pg</w:t>
      </w:r>
    </w:p>
    <w:p>
      <w:pPr>
        <w:pStyle w:val="CodeBlock"/>
      </w:pPr>
      <w:r>
        <w:t xml:space="preserve">                                                        ┌─────────▼─────────┐</w:t>
      </w:r>
    </w:p>
    <w:p>
      <w:pPr>
        <w:pStyle w:val="CodeBlock"/>
      </w:pPr>
      <w:r>
        <w:t xml:space="preserve">                                                        │ PostgreSQL 16     │</w:t>
      </w:r>
    </w:p>
    <w:p>
      <w:pPr>
        <w:pStyle w:val="CodeBlock"/>
      </w:pPr>
      <w:r>
        <w:t xml:space="preserve">                                                        │  RLS per zone     │</w:t>
      </w:r>
    </w:p>
    <w:p>
      <w:pPr>
        <w:pStyle w:val="CodeBlock"/>
      </w:pPr>
      <w:r>
        <w:t xml:space="preserve">                                                        └───────────────────┘</w:t>
      </w:r>
    </w:p>
    <w:tbl>
      <w:tblPr>
        <w:tblStyle w:val="LightGrid-Accent1"/>
        <w:tblW w:type="auto" w:w="0"/>
        <w:tblLook w:firstColumn="1" w:firstRow="1" w:lastColumn="0" w:lastRow="0" w:noHBand="0" w:noVBand="1" w:val="04A0"/>
      </w:tblPr>
      <w:tblGrid>
        <w:gridCol w:w="3216"/>
        <w:gridCol w:w="3216"/>
        <w:gridCol w:w="3216"/>
      </w:tblGrid>
      <w:tr>
        <w:tc>
          <w:tcPr>
            <w:tcW w:type="dxa" w:w="2304"/>
          </w:tcPr>
          <w:p>
            <w:r/>
            <w:r>
              <w:rPr>
                <w:b/>
                <w:sz w:val="18"/>
              </w:rPr>
              <w:t>Component</w:t>
            </w:r>
          </w:p>
        </w:tc>
        <w:tc>
          <w:tcPr>
            <w:tcW w:type="dxa" w:w="3168"/>
          </w:tcPr>
          <w:p>
            <w:r/>
            <w:r>
              <w:rPr>
                <w:b/>
                <w:sz w:val="18"/>
              </w:rPr>
              <w:t>Technology</w:t>
            </w:r>
          </w:p>
        </w:tc>
        <w:tc>
          <w:tcPr>
            <w:tcW w:type="dxa" w:w="3744"/>
          </w:tcPr>
          <w:p>
            <w:r/>
            <w:r>
              <w:rPr>
                <w:b/>
                <w:sz w:val="18"/>
              </w:rPr>
              <w:t>Serves</w:t>
            </w:r>
          </w:p>
        </w:tc>
      </w:tr>
      <w:tr>
        <w:tc>
          <w:tcPr>
            <w:tcW w:type="dxa" w:w="2304"/>
          </w:tcPr>
          <w:p>
            <w:r>
              <w:rPr>
                <w:sz w:val="18"/>
              </w:rPr>
            </w:r>
            <w:r>
              <w:rPr>
                <w:sz w:val="18"/>
              </w:rPr>
              <w:t>Public form SPA</w:t>
            </w:r>
          </w:p>
        </w:tc>
        <w:tc>
          <w:tcPr>
            <w:tcW w:type="dxa" w:w="3168"/>
          </w:tcPr>
          <w:p>
            <w:r>
              <w:rPr>
                <w:sz w:val="18"/>
              </w:rPr>
            </w:r>
            <w:r>
              <w:rPr>
                <w:sz w:val="18"/>
              </w:rPr>
              <w:t>React 19, Vite, vendored source CSS</w:t>
            </w:r>
          </w:p>
        </w:tc>
        <w:tc>
          <w:tcPr>
            <w:tcW w:type="dxa" w:w="3744"/>
          </w:tcPr>
          <w:p>
            <w:r>
              <w:rPr>
                <w:sz w:val="18"/>
              </w:rPr>
            </w:r>
            <w:r>
              <w:rPr>
                <w:sz w:val="18"/>
              </w:rPr>
              <w:t>The 12 public request forms</w:t>
            </w:r>
          </w:p>
        </w:tc>
      </w:tr>
      <w:tr>
        <w:tc>
          <w:tcPr>
            <w:tcW w:type="dxa" w:w="2304"/>
          </w:tcPr>
          <w:p>
            <w:r>
              <w:rPr>
                <w:sz w:val="18"/>
              </w:rPr>
            </w:r>
            <w:r>
              <w:rPr>
                <w:sz w:val="18"/>
              </w:rPr>
              <w:t>Admin console SPA</w:t>
            </w:r>
          </w:p>
        </w:tc>
        <w:tc>
          <w:tcPr>
            <w:tcW w:type="dxa" w:w="3168"/>
          </w:tcPr>
          <w:p>
            <w:r>
              <w:rPr>
                <w:sz w:val="18"/>
              </w:rPr>
            </w:r>
            <w:r>
              <w:rPr>
                <w:sz w:val="18"/>
              </w:rPr>
              <w:t>React 19, Vite, Tailwind v4</w:t>
            </w:r>
          </w:p>
        </w:tc>
        <w:tc>
          <w:tcPr>
            <w:tcW w:type="dxa" w:w="3744"/>
          </w:tcPr>
          <w:p>
            <w:r>
              <w:rPr>
                <w:sz w:val="18"/>
              </w:rPr>
            </w:r>
            <w:r>
              <w:rPr>
                <w:sz w:val="18"/>
              </w:rPr>
              <w:t>The internal case-management UI</w:t>
            </w:r>
          </w:p>
        </w:tc>
      </w:tr>
      <w:tr>
        <w:tc>
          <w:tcPr>
            <w:tcW w:type="dxa" w:w="2304"/>
          </w:tcPr>
          <w:p>
            <w:r>
              <w:rPr>
                <w:sz w:val="18"/>
              </w:rPr>
            </w:r>
            <w:r>
              <w:rPr>
                <w:sz w:val="18"/>
              </w:rPr>
              <w:t>API</w:t>
            </w:r>
          </w:p>
        </w:tc>
        <w:tc>
          <w:tcPr>
            <w:tcW w:type="dxa" w:w="3168"/>
          </w:tcPr>
          <w:p>
            <w:r>
              <w:rPr>
                <w:sz w:val="18"/>
              </w:rPr>
            </w:r>
            <w:r>
              <w:rPr>
                <w:sz w:val="18"/>
              </w:rPr>
              <w:t>NestJS 11, Node 22, Drizzle ORM</w:t>
            </w:r>
          </w:p>
        </w:tc>
        <w:tc>
          <w:tcPr>
            <w:tcW w:type="dxa" w:w="3744"/>
          </w:tcPr>
          <w:p>
            <w:r>
              <w:rPr>
                <w:sz w:val="18"/>
              </w:rPr>
            </w:r>
            <w:r>
              <w:rPr>
                <w:sz w:val="18"/>
              </w:rPr>
              <w:t>All business logic and data access</w:t>
            </w:r>
          </w:p>
        </w:tc>
      </w:tr>
      <w:tr>
        <w:tc>
          <w:tcPr>
            <w:tcW w:type="dxa" w:w="2304"/>
          </w:tcPr>
          <w:p>
            <w:r>
              <w:rPr>
                <w:sz w:val="18"/>
              </w:rPr>
            </w:r>
            <w:r>
              <w:rPr>
                <w:sz w:val="18"/>
              </w:rPr>
              <w:t>Database</w:t>
            </w:r>
          </w:p>
        </w:tc>
        <w:tc>
          <w:tcPr>
            <w:tcW w:type="dxa" w:w="3168"/>
          </w:tcPr>
          <w:p>
            <w:r>
              <w:rPr>
                <w:sz w:val="18"/>
              </w:rPr>
            </w:r>
            <w:r>
              <w:rPr>
                <w:sz w:val="18"/>
              </w:rPr>
              <w:t>PostgreSQL 16 with row-level security</w:t>
            </w:r>
          </w:p>
        </w:tc>
        <w:tc>
          <w:tcPr>
            <w:tcW w:type="dxa" w:w="3744"/>
          </w:tcPr>
          <w:p>
            <w:r>
              <w:rPr>
                <w:sz w:val="18"/>
              </w:rPr>
            </w:r>
            <w:r>
              <w:rPr>
                <w:sz w:val="18"/>
              </w:rPr>
              <w:t>Cases, forms, settings, audit</w:t>
            </w:r>
          </w:p>
        </w:tc>
      </w:tr>
      <w:tr>
        <w:tc>
          <w:tcPr>
            <w:tcW w:type="dxa" w:w="2304"/>
          </w:tcPr>
          <w:p>
            <w:r>
              <w:rPr>
                <w:sz w:val="18"/>
              </w:rPr>
            </w:r>
            <w:r>
              <w:rPr>
                <w:sz w:val="18"/>
              </w:rPr>
              <w:t>Reverse proxy</w:t>
            </w:r>
          </w:p>
        </w:tc>
        <w:tc>
          <w:tcPr>
            <w:tcW w:type="dxa" w:w="3168"/>
          </w:tcPr>
          <w:p>
            <w:r>
              <w:rPr>
                <w:sz w:val="18"/>
              </w:rPr>
            </w:r>
            <w:r>
              <w:rPr>
                <w:sz w:val="18"/>
              </w:rPr>
              <w:t>nginx 1.24</w:t>
            </w:r>
          </w:p>
        </w:tc>
        <w:tc>
          <w:tcPr>
            <w:tcW w:type="dxa" w:w="3744"/>
          </w:tcPr>
          <w:p>
            <w:r>
              <w:rPr>
                <w:sz w:val="18"/>
              </w:rPr>
            </w:r>
            <w:r>
              <w:rPr>
                <w:sz w:val="18"/>
              </w:rPr>
              <w:t>TLS termination, static hosting, rate limits</w:t>
            </w:r>
          </w:p>
        </w:tc>
      </w:tr>
    </w:tbl>
    <w:p/>
    <w:p>
      <w:pPr>
        <w:pStyle w:val="Heading2"/>
      </w:pPr>
      <w:r>
        <w:t>1.2 Design decisions worth knowing</w:t>
      </w:r>
    </w:p>
    <w:p>
      <w:pPr>
        <w:pStyle w:val="ListBullet"/>
      </w:pPr>
      <w:r>
        <w:rPr>
          <w:b/>
        </w:rPr>
        <w:t>Zone isolation lives in the database, not the controllers.</w:t>
      </w:r>
      <w:r>
        <w:t xml:space="preserve"> The API connects as a non-owner role and sets </w:t>
      </w:r>
      <w:r>
        <w:rPr>
          <w:rFonts w:ascii="Consolas" w:hAnsi="Consolas"/>
          <w:color w:val="6F5900"/>
          <w:sz w:val="18"/>
        </w:rPr>
        <w:t>app.current_zone</w:t>
      </w:r>
      <w:r>
        <w:t xml:space="preserve"> per transaction; PostgreSQL policies do the filtering. A missing context yields zero rows, so the failure mode is closed.</w:t>
      </w:r>
    </w:p>
    <w:p>
      <w:pPr>
        <w:pStyle w:val="ListBullet"/>
      </w:pPr>
      <w:r>
        <w:rPr>
          <w:b/>
        </w:rPr>
        <w:t>Form schemas are verbatim form.io trees.</w:t>
      </w:r>
      <w:r>
        <w:t xml:space="preserve"> The originals were captured field-for-field and are stored unmodified, which is what makes the public replicas exact.</w:t>
      </w:r>
    </w:p>
    <w:p>
      <w:pPr>
        <w:pStyle w:val="ListBullet"/>
      </w:pPr>
      <w:r>
        <w:rPr>
          <w:b/>
        </w:rPr>
        <w:t>Form versions are immutable.</w:t>
      </w:r>
      <w:r>
        <w:t xml:space="preserve"> Publishing appends a new row; a case always renders against the version it was filed under.</w:t>
      </w:r>
    </w:p>
    <w:p>
      <w:pPr>
        <w:pStyle w:val="ListBullet"/>
      </w:pPr>
      <w:r>
        <w:rPr>
          <w:b/>
        </w:rPr>
        <w:t>Configuration resolves database, then environment, then default.</w:t>
      </w:r>
      <w:r>
        <w:t xml:space="preserve"> The runtime cache keeps reads synchronous so providers can stay drop-in.</w:t>
      </w:r>
    </w:p>
    <w:p>
      <w:pPr>
        <w:pStyle w:val="ListBullet"/>
      </w:pPr>
      <w:r>
        <w:rPr>
          <w:b/>
        </w:rPr>
        <w:t>No Redis.</w:t>
      </w:r>
      <w:r>
        <w:t xml:space="preserve"> Scheduling uses a PostgreSQL advisory lock, which is multi-instance safe and removes an entire moving part.</w:t>
      </w:r>
    </w:p>
    <w:p>
      <w:r>
        <w:br w:type="page"/>
      </w:r>
    </w:p>
    <w:p>
      <w:pPr>
        <w:pStyle w:val="Heading1"/>
      </w:pPr>
      <w:r>
        <w:t>2. Source map</w:t>
      </w:r>
    </w:p>
    <w:p>
      <w:r>
        <w:rPr>
          <w:b w:val="0"/>
        </w:rPr>
        <w:t>172 first-party source files, 25,896 lines, excluding lock files, migration snapshots and vendored assets.</w:t>
      </w:r>
    </w:p>
    <w:p>
      <w:pPr>
        <w:pStyle w:val="Heading2"/>
      </w:pPr>
      <w:r>
        <w:t>2.1 Top level</w:t>
      </w:r>
    </w:p>
    <w:tbl>
      <w:tblPr>
        <w:tblStyle w:val="LightGrid-Accent1"/>
        <w:tblW w:type="auto" w:w="0"/>
        <w:tblLook w:firstColumn="1" w:firstRow="1" w:lastColumn="0" w:lastRow="0" w:noHBand="0" w:noVBand="1" w:val="04A0"/>
      </w:tblPr>
      <w:tblGrid>
        <w:gridCol w:w="4824"/>
        <w:gridCol w:w="4824"/>
      </w:tblGrid>
      <w:tr>
        <w:tc>
          <w:tcPr>
            <w:tcW w:type="dxa" w:w="2448"/>
          </w:tcPr>
          <w:p>
            <w:r/>
            <w:r>
              <w:rPr>
                <w:b/>
                <w:sz w:val="18"/>
              </w:rPr>
              <w:t>Path</w:t>
            </w:r>
          </w:p>
        </w:tc>
        <w:tc>
          <w:tcPr>
            <w:tcW w:type="dxa" w:w="6768"/>
          </w:tcPr>
          <w:p>
            <w:r/>
            <w:r>
              <w:rPr>
                <w:b/>
                <w:sz w:val="18"/>
              </w:rPr>
              <w:t>Contains</w:t>
            </w:r>
          </w:p>
        </w:tc>
      </w:tr>
      <w:tr>
        <w:tc>
          <w:tcPr>
            <w:tcW w:type="dxa" w:w="2448"/>
          </w:tcPr>
          <w:p>
            <w:r>
              <w:rPr>
                <w:sz w:val="18"/>
              </w:rPr>
            </w:r>
            <w:r>
              <w:rPr>
                <w:rFonts w:ascii="Consolas" w:hAnsi="Consolas"/>
                <w:color w:val="6F5900"/>
                <w:sz w:val="18"/>
              </w:rPr>
              <w:t>server/</w:t>
            </w:r>
          </w:p>
        </w:tc>
        <w:tc>
          <w:tcPr>
            <w:tcW w:type="dxa" w:w="6768"/>
          </w:tcPr>
          <w:p>
            <w:r>
              <w:rPr>
                <w:sz w:val="18"/>
              </w:rPr>
            </w:r>
            <w:r>
              <w:rPr>
                <w:sz w:val="18"/>
              </w:rPr>
              <w:t>The NestJS API: every endpoint, all business logic, migrations and operational scripts.</w:t>
            </w:r>
          </w:p>
        </w:tc>
      </w:tr>
      <w:tr>
        <w:tc>
          <w:tcPr>
            <w:tcW w:type="dxa" w:w="2448"/>
          </w:tcPr>
          <w:p>
            <w:r>
              <w:rPr>
                <w:sz w:val="18"/>
              </w:rPr>
            </w:r>
            <w:r>
              <w:rPr>
                <w:rFonts w:ascii="Consolas" w:hAnsi="Consolas"/>
                <w:color w:val="6F5900"/>
                <w:sz w:val="18"/>
              </w:rPr>
              <w:t>apps/public-form/</w:t>
            </w:r>
          </w:p>
        </w:tc>
        <w:tc>
          <w:tcPr>
            <w:tcW w:type="dxa" w:w="6768"/>
          </w:tcPr>
          <w:p>
            <w:r>
              <w:rPr>
                <w:sz w:val="18"/>
              </w:rPr>
            </w:r>
            <w:r>
              <w:rPr>
                <w:sz w:val="18"/>
              </w:rPr>
              <w:t>The public request SPA. Deliberately dependency-light; never ships admin code.</w:t>
            </w:r>
          </w:p>
        </w:tc>
      </w:tr>
      <w:tr>
        <w:tc>
          <w:tcPr>
            <w:tcW w:type="dxa" w:w="2448"/>
          </w:tcPr>
          <w:p>
            <w:r>
              <w:rPr>
                <w:sz w:val="18"/>
              </w:rPr>
            </w:r>
            <w:r>
              <w:rPr>
                <w:rFonts w:ascii="Consolas" w:hAnsi="Consolas"/>
                <w:color w:val="6F5900"/>
                <w:sz w:val="18"/>
              </w:rPr>
              <w:t>apps/admin/</w:t>
            </w:r>
          </w:p>
        </w:tc>
        <w:tc>
          <w:tcPr>
            <w:tcW w:type="dxa" w:w="6768"/>
          </w:tcPr>
          <w:p>
            <w:r>
              <w:rPr>
                <w:sz w:val="18"/>
              </w:rPr>
            </w:r>
            <w:r>
              <w:rPr>
                <w:sz w:val="18"/>
              </w:rPr>
              <w:t>The internal console SPA.</w:t>
            </w:r>
          </w:p>
        </w:tc>
      </w:tr>
      <w:tr>
        <w:tc>
          <w:tcPr>
            <w:tcW w:type="dxa" w:w="2448"/>
          </w:tcPr>
          <w:p>
            <w:r>
              <w:rPr>
                <w:sz w:val="18"/>
              </w:rPr>
            </w:r>
            <w:r>
              <w:rPr>
                <w:rFonts w:ascii="Consolas" w:hAnsi="Consolas"/>
                <w:color w:val="6F5900"/>
                <w:sz w:val="18"/>
              </w:rPr>
              <w:t>form-schema/</w:t>
            </w:r>
          </w:p>
        </w:tc>
        <w:tc>
          <w:tcPr>
            <w:tcW w:type="dxa" w:w="6768"/>
          </w:tcPr>
          <w:p>
            <w:r>
              <w:rPr>
                <w:sz w:val="18"/>
              </w:rPr>
            </w:r>
            <w:r>
              <w:rPr>
                <w:sz w:val="18"/>
              </w:rPr>
              <w:t>Normalised form definitions. The seed for the database; not read at runtime.</w:t>
            </w:r>
          </w:p>
        </w:tc>
      </w:tr>
      <w:tr>
        <w:tc>
          <w:tcPr>
            <w:tcW w:type="dxa" w:w="2448"/>
          </w:tcPr>
          <w:p>
            <w:r>
              <w:rPr>
                <w:sz w:val="18"/>
              </w:rPr>
            </w:r>
            <w:r>
              <w:rPr>
                <w:rFonts w:ascii="Consolas" w:hAnsi="Consolas"/>
                <w:color w:val="6F5900"/>
                <w:sz w:val="18"/>
              </w:rPr>
              <w:t>form-source/</w:t>
            </w:r>
          </w:p>
        </w:tc>
        <w:tc>
          <w:tcPr>
            <w:tcW w:type="dxa" w:w="6768"/>
          </w:tcPr>
          <w:p>
            <w:r>
              <w:rPr>
                <w:sz w:val="18"/>
              </w:rPr>
            </w:r>
            <w:r>
              <w:rPr>
                <w:sz w:val="18"/>
              </w:rPr>
              <w:t xml:space="preserve">The raw captures from the source platform plus </w:t>
            </w:r>
            <w:r>
              <w:rPr>
                <w:rFonts w:ascii="Consolas" w:hAnsi="Consolas"/>
                <w:color w:val="6F5900"/>
                <w:sz w:val="18"/>
              </w:rPr>
              <w:t>extract.py</w:t>
            </w:r>
            <w:r>
              <w:rPr>
                <w:sz w:val="18"/>
              </w:rPr>
              <w:t>, which normalises them.</w:t>
            </w:r>
          </w:p>
        </w:tc>
      </w:tr>
      <w:tr>
        <w:tc>
          <w:tcPr>
            <w:tcW w:type="dxa" w:w="2448"/>
          </w:tcPr>
          <w:p>
            <w:r>
              <w:rPr>
                <w:sz w:val="18"/>
              </w:rPr>
            </w:r>
            <w:r>
              <w:rPr>
                <w:rFonts w:ascii="Consolas" w:hAnsi="Consolas"/>
                <w:color w:val="6F5900"/>
                <w:sz w:val="18"/>
              </w:rPr>
              <w:t>deploy/</w:t>
            </w:r>
          </w:p>
        </w:tc>
        <w:tc>
          <w:tcPr>
            <w:tcW w:type="dxa" w:w="6768"/>
          </w:tcPr>
          <w:p>
            <w:r>
              <w:rPr>
                <w:sz w:val="18"/>
              </w:rPr>
            </w:r>
            <w:r>
              <w:rPr>
                <w:sz w:val="18"/>
              </w:rPr>
              <w:t>Provisioning, deployment, nginx and systemd configuration, plus the production smoke test.</w:t>
            </w:r>
          </w:p>
        </w:tc>
      </w:tr>
      <w:tr>
        <w:tc>
          <w:tcPr>
            <w:tcW w:type="dxa" w:w="2448"/>
          </w:tcPr>
          <w:p>
            <w:r>
              <w:rPr>
                <w:sz w:val="18"/>
              </w:rPr>
            </w:r>
            <w:r>
              <w:rPr>
                <w:rFonts w:ascii="Consolas" w:hAnsi="Consolas"/>
                <w:color w:val="6F5900"/>
                <w:sz w:val="18"/>
              </w:rPr>
              <w:t>tools/</w:t>
            </w:r>
          </w:p>
        </w:tc>
        <w:tc>
          <w:tcPr>
            <w:tcW w:type="dxa" w:w="6768"/>
          </w:tcPr>
          <w:p>
            <w:r>
              <w:rPr>
                <w:sz w:val="18"/>
              </w:rPr>
            </w:r>
            <w:r>
              <w:rPr>
                <w:sz w:val="18"/>
              </w:rPr>
              <w:t>Playwright capture scripts used for fidelity checks and documentation screenshots.</w:t>
            </w:r>
          </w:p>
        </w:tc>
      </w:tr>
      <w:tr>
        <w:tc>
          <w:tcPr>
            <w:tcW w:type="dxa" w:w="2448"/>
          </w:tcPr>
          <w:p>
            <w:r>
              <w:rPr>
                <w:sz w:val="18"/>
              </w:rPr>
            </w:r>
            <w:r>
              <w:rPr>
                <w:rFonts w:ascii="Consolas" w:hAnsi="Consolas"/>
                <w:color w:val="6F5900"/>
                <w:sz w:val="18"/>
              </w:rPr>
              <w:t>docs/</w:t>
            </w:r>
          </w:p>
        </w:tc>
        <w:tc>
          <w:tcPr>
            <w:tcW w:type="dxa" w:w="6768"/>
          </w:tcPr>
          <w:p>
            <w:r>
              <w:rPr>
                <w:sz w:val="18"/>
              </w:rPr>
            </w:r>
            <w:r>
              <w:rPr>
                <w:sz w:val="18"/>
              </w:rPr>
              <w:t>These documents and the scripts that generate them.</w:t>
            </w:r>
          </w:p>
        </w:tc>
      </w:tr>
    </w:tbl>
    <w:p/>
    <w:p>
      <w:pPr>
        <w:pStyle w:val="Heading2"/>
      </w:pPr>
      <w:r>
        <w:t>2.2 The API, module by module</w:t>
      </w:r>
    </w:p>
    <w:p>
      <w:pPr>
        <w:pStyle w:val="Heading3"/>
      </w:pPr>
      <w:r>
        <w:t>server/src/db</w:t>
      </w:r>
    </w:p>
    <w:tbl>
      <w:tblPr>
        <w:tblStyle w:val="LightGrid-Accent1"/>
        <w:tblW w:type="auto" w:w="0"/>
        <w:tblLook w:firstColumn="1" w:firstRow="1" w:lastColumn="0" w:lastRow="0" w:noHBand="0" w:noVBand="1" w:val="04A0"/>
      </w:tblPr>
      <w:tblGrid>
        <w:gridCol w:w="4824"/>
        <w:gridCol w:w="4824"/>
      </w:tblGrid>
      <w:tr>
        <w:tc>
          <w:tcPr>
            <w:tcW w:type="dxa" w:w="2448"/>
          </w:tcPr>
          <w:p>
            <w:r/>
            <w:r>
              <w:rPr>
                <w:b/>
                <w:sz w:val="18"/>
              </w:rPr>
              <w:t>File</w:t>
            </w:r>
          </w:p>
        </w:tc>
        <w:tc>
          <w:tcPr>
            <w:tcW w:type="dxa" w:w="6768"/>
          </w:tcPr>
          <w:p>
            <w:r/>
            <w:r>
              <w:rPr>
                <w:b/>
                <w:sz w:val="18"/>
              </w:rPr>
              <w:t>Responsibility</w:t>
            </w:r>
          </w:p>
        </w:tc>
      </w:tr>
      <w:tr>
        <w:tc>
          <w:tcPr>
            <w:tcW w:type="dxa" w:w="2448"/>
          </w:tcPr>
          <w:p>
            <w:r>
              <w:rPr>
                <w:sz w:val="18"/>
              </w:rPr>
            </w:r>
            <w:r>
              <w:rPr>
                <w:rFonts w:ascii="Consolas" w:hAnsi="Consolas"/>
                <w:color w:val="6F5900"/>
                <w:sz w:val="18"/>
              </w:rPr>
              <w:t>schema.ts</w:t>
            </w:r>
          </w:p>
        </w:tc>
        <w:tc>
          <w:tcPr>
            <w:tcW w:type="dxa" w:w="6768"/>
          </w:tcPr>
          <w:p>
            <w:r>
              <w:rPr>
                <w:sz w:val="18"/>
              </w:rPr>
            </w:r>
            <w:r>
              <w:rPr>
                <w:sz w:val="18"/>
              </w:rPr>
              <w:t>Every table, as Drizzle definitions. The single source of truth for the data model.</w:t>
            </w:r>
          </w:p>
        </w:tc>
      </w:tr>
      <w:tr>
        <w:tc>
          <w:tcPr>
            <w:tcW w:type="dxa" w:w="2448"/>
          </w:tcPr>
          <w:p>
            <w:r>
              <w:rPr>
                <w:sz w:val="18"/>
              </w:rPr>
            </w:r>
            <w:r>
              <w:rPr>
                <w:rFonts w:ascii="Consolas" w:hAnsi="Consolas"/>
                <w:color w:val="6F5900"/>
                <w:sz w:val="18"/>
              </w:rPr>
              <w:t>db.module.ts</w:t>
            </w:r>
          </w:p>
        </w:tc>
        <w:tc>
          <w:tcPr>
            <w:tcW w:type="dxa" w:w="6768"/>
          </w:tcPr>
          <w:p>
            <w:r>
              <w:rPr>
                <w:sz w:val="18"/>
              </w:rPr>
            </w:r>
            <w:r>
              <w:rPr>
                <w:rFonts w:ascii="Consolas" w:hAnsi="Consolas"/>
                <w:color w:val="6F5900"/>
                <w:sz w:val="18"/>
              </w:rPr>
              <w:t>DbService</w:t>
            </w:r>
            <w:r>
              <w:rPr>
                <w:sz w:val="18"/>
              </w:rPr>
              <w:t xml:space="preserve">. </w:t>
            </w:r>
            <w:r>
              <w:rPr>
                <w:rFonts w:ascii="Consolas" w:hAnsi="Consolas"/>
                <w:color w:val="6F5900"/>
                <w:sz w:val="18"/>
              </w:rPr>
              <w:t>withContext(ctx, fn)</w:t>
            </w:r>
            <w:r>
              <w:rPr>
                <w:sz w:val="18"/>
              </w:rPr>
              <w:t xml:space="preserve"> opens a transaction and sets the RLS role and zone; </w:t>
            </w:r>
            <w:r>
              <w:rPr>
                <w:rFonts w:ascii="Consolas" w:hAnsi="Consolas"/>
                <w:color w:val="6F5900"/>
                <w:sz w:val="18"/>
              </w:rPr>
              <w:t>system(fn)</w:t>
            </w:r>
            <w:r>
              <w:rPr>
                <w:sz w:val="18"/>
              </w:rPr>
              <w:t xml:space="preserve"> is the unrestricted equivalent for schedulers and intake.</w:t>
            </w:r>
          </w:p>
        </w:tc>
      </w:tr>
    </w:tbl>
    <w:p/>
    <w:tbl>
      <w:tblPr>
        <w:tblW w:type="auto" w:w="0"/>
        <w:jc w:val="center"/>
        <w:tblLook w:firstColumn="1" w:firstRow="1" w:lastColumn="0" w:lastRow="0" w:noHBand="0" w:noVBand="1" w:val="04A0"/>
      </w:tblPr>
      <w:tblGrid>
        <w:gridCol w:w="9648"/>
      </w:tblGrid>
      <w:tr>
        <w:tc>
          <w:tcPr>
            <w:tcW w:type="dxa" w:w="9648"/>
            <w:shd w:fill="FDF3E7"/>
          </w:tcPr>
          <w:p>
            <w:r>
              <w:rPr>
                <w:b/>
                <w:sz w:val="19"/>
              </w:rPr>
              <w:t xml:space="preserve">Important  </w:t>
            </w:r>
            <w:r>
              <w:rPr>
                <w:sz w:val="19"/>
              </w:rPr>
              <w:t xml:space="preserve">Never query outside </w:t>
            </w:r>
            <w:r>
              <w:rPr>
                <w:rFonts w:ascii="Consolas" w:hAnsi="Consolas"/>
                <w:color w:val="6F5900"/>
                <w:sz w:val="19"/>
              </w:rPr>
              <w:t>withContext</w:t>
            </w:r>
            <w:r>
              <w:rPr>
                <w:sz w:val="19"/>
              </w:rPr>
              <w:t xml:space="preserve"> or </w:t>
            </w:r>
            <w:r>
              <w:rPr>
                <w:rFonts w:ascii="Consolas" w:hAnsi="Consolas"/>
                <w:color w:val="6F5900"/>
                <w:sz w:val="19"/>
              </w:rPr>
              <w:t>system</w:t>
            </w:r>
            <w:r>
              <w:rPr>
                <w:sz w:val="19"/>
              </w:rPr>
              <w:t>. A raw pool query has no RLS context and will return nothing, which reads like a bug but is the safety net working.</w:t>
            </w:r>
          </w:p>
        </w:tc>
      </w:tr>
    </w:tbl>
    <w:p/>
    <w:p>
      <w:pPr>
        <w:pStyle w:val="Heading3"/>
      </w:pPr>
      <w:r>
        <w:t>server/src/auth</w:t>
      </w:r>
    </w:p>
    <w:tbl>
      <w:tblPr>
        <w:tblStyle w:val="LightGrid-Accent1"/>
        <w:tblW w:type="auto" w:w="0"/>
        <w:tblLook w:firstColumn="1" w:firstRow="1" w:lastColumn="0" w:lastRow="0" w:noHBand="0" w:noVBand="1" w:val="04A0"/>
      </w:tblPr>
      <w:tblGrid>
        <w:gridCol w:w="4824"/>
        <w:gridCol w:w="4824"/>
      </w:tblGrid>
      <w:tr>
        <w:tc>
          <w:tcPr>
            <w:tcW w:type="dxa" w:w="2448"/>
          </w:tcPr>
          <w:p>
            <w:r/>
            <w:r>
              <w:rPr>
                <w:b/>
                <w:sz w:val="18"/>
              </w:rPr>
              <w:t>File</w:t>
            </w:r>
          </w:p>
        </w:tc>
        <w:tc>
          <w:tcPr>
            <w:tcW w:type="dxa" w:w="6768"/>
          </w:tcPr>
          <w:p>
            <w:r/>
            <w:r>
              <w:rPr>
                <w:b/>
                <w:sz w:val="18"/>
              </w:rPr>
              <w:t>Responsibility</w:t>
            </w:r>
          </w:p>
        </w:tc>
      </w:tr>
      <w:tr>
        <w:tc>
          <w:tcPr>
            <w:tcW w:type="dxa" w:w="2448"/>
          </w:tcPr>
          <w:p>
            <w:r>
              <w:rPr>
                <w:sz w:val="18"/>
              </w:rPr>
            </w:r>
            <w:r>
              <w:rPr>
                <w:rFonts w:ascii="Consolas" w:hAnsi="Consolas"/>
                <w:color w:val="6F5900"/>
                <w:sz w:val="18"/>
              </w:rPr>
              <w:t>auth.service.ts</w:t>
            </w:r>
          </w:p>
        </w:tc>
        <w:tc>
          <w:tcPr>
            <w:tcW w:type="dxa" w:w="6768"/>
          </w:tcPr>
          <w:p>
            <w:r>
              <w:rPr>
                <w:sz w:val="18"/>
              </w:rPr>
            </w:r>
            <w:r>
              <w:rPr>
                <w:sz w:val="18"/>
              </w:rPr>
              <w:t xml:space="preserve">Password verification with argon2id, session creation, idle and absolute expiry, and </w:t>
            </w:r>
            <w:r>
              <w:rPr>
                <w:rFonts w:ascii="Consolas" w:hAnsi="Consolas"/>
                <w:color w:val="6F5900"/>
                <w:sz w:val="18"/>
              </w:rPr>
              <w:t>zoneContextFor</w:t>
            </w:r>
            <w:r>
              <w:rPr>
                <w:sz w:val="18"/>
              </w:rPr>
              <w:t xml:space="preserve"> which maps a user to their RLS context.</w:t>
            </w:r>
          </w:p>
        </w:tc>
      </w:tr>
      <w:tr>
        <w:tc>
          <w:tcPr>
            <w:tcW w:type="dxa" w:w="2448"/>
          </w:tcPr>
          <w:p>
            <w:r>
              <w:rPr>
                <w:sz w:val="18"/>
              </w:rPr>
            </w:r>
            <w:r>
              <w:rPr>
                <w:rFonts w:ascii="Consolas" w:hAnsi="Consolas"/>
                <w:color w:val="6F5900"/>
                <w:sz w:val="18"/>
              </w:rPr>
              <w:t>auth.guard.ts</w:t>
            </w:r>
          </w:p>
        </w:tc>
        <w:tc>
          <w:tcPr>
            <w:tcW w:type="dxa" w:w="6768"/>
          </w:tcPr>
          <w:p>
            <w:r>
              <w:rPr>
                <w:sz w:val="18"/>
              </w:rPr>
            </w:r>
            <w:r>
              <w:rPr>
                <w:rFonts w:ascii="Consolas" w:hAnsi="Consolas"/>
                <w:color w:val="6F5900"/>
                <w:sz w:val="18"/>
              </w:rPr>
              <w:t>AuthGuard</w:t>
            </w:r>
            <w:r>
              <w:rPr>
                <w:sz w:val="18"/>
              </w:rPr>
              <w:t xml:space="preserve"> resolves the session cookie and attaches </w:t>
            </w:r>
            <w:r>
              <w:rPr>
                <w:rFonts w:ascii="Consolas" w:hAnsi="Consolas"/>
                <w:color w:val="6F5900"/>
                <w:sz w:val="18"/>
              </w:rPr>
              <w:t>req.user</w:t>
            </w:r>
            <w:r>
              <w:rPr>
                <w:sz w:val="18"/>
              </w:rPr>
              <w:t xml:space="preserve"> and </w:t>
            </w:r>
            <w:r>
              <w:rPr>
                <w:rFonts w:ascii="Consolas" w:hAnsi="Consolas"/>
                <w:color w:val="6F5900"/>
                <w:sz w:val="18"/>
              </w:rPr>
              <w:t>req.zoneCtx</w:t>
            </w:r>
            <w:r>
              <w:rPr>
                <w:sz w:val="18"/>
              </w:rPr>
              <w:t xml:space="preserve">. </w:t>
            </w:r>
            <w:r>
              <w:rPr>
                <w:rFonts w:ascii="Consolas" w:hAnsi="Consolas"/>
                <w:color w:val="6F5900"/>
                <w:sz w:val="18"/>
              </w:rPr>
              <w:t>satisfies()</w:t>
            </w:r>
            <w:r>
              <w:rPr>
                <w:sz w:val="18"/>
              </w:rPr>
              <w:t xml:space="preserve"> implements the role ladder.</w:t>
            </w:r>
          </w:p>
        </w:tc>
      </w:tr>
      <w:tr>
        <w:tc>
          <w:tcPr>
            <w:tcW w:type="dxa" w:w="2448"/>
          </w:tcPr>
          <w:p>
            <w:r>
              <w:rPr>
                <w:sz w:val="18"/>
              </w:rPr>
            </w:r>
            <w:r>
              <w:rPr>
                <w:rFonts w:ascii="Consolas" w:hAnsi="Consolas"/>
                <w:color w:val="6F5900"/>
                <w:sz w:val="18"/>
              </w:rPr>
              <w:t>auth.controller.ts</w:t>
            </w:r>
          </w:p>
        </w:tc>
        <w:tc>
          <w:tcPr>
            <w:tcW w:type="dxa" w:w="6768"/>
          </w:tcPr>
          <w:p>
            <w:r>
              <w:rPr>
                <w:sz w:val="18"/>
              </w:rPr>
            </w:r>
            <w:r>
              <w:rPr>
                <w:sz w:val="18"/>
              </w:rPr>
              <w:t xml:space="preserve">Sign in, sign out, and </w:t>
            </w:r>
            <w:r>
              <w:rPr>
                <w:rFonts w:ascii="Consolas" w:hAnsi="Consolas"/>
                <w:color w:val="6F5900"/>
                <w:sz w:val="18"/>
              </w:rPr>
              <w:t>me</w:t>
            </w:r>
            <w:r>
              <w:rPr>
                <w:sz w:val="18"/>
              </w:rPr>
              <w:t xml:space="preserve">. Also owns </w:t>
            </w:r>
            <w:r>
              <w:rPr>
                <w:rFonts w:ascii="Consolas" w:hAnsi="Consolas"/>
                <w:color w:val="6F5900"/>
                <w:sz w:val="18"/>
              </w:rPr>
              <w:t>cookieSecure()</w:t>
            </w:r>
            <w:r>
              <w:rPr>
                <w:sz w:val="18"/>
              </w:rPr>
              <w:t>, which decides whether session cookies carry the Secure flag.</w:t>
            </w:r>
          </w:p>
        </w:tc>
      </w:tr>
      <w:tr>
        <w:tc>
          <w:tcPr>
            <w:tcW w:type="dxa" w:w="2448"/>
          </w:tcPr>
          <w:p>
            <w:r>
              <w:rPr>
                <w:sz w:val="18"/>
              </w:rPr>
            </w:r>
            <w:r>
              <w:rPr>
                <w:rFonts w:ascii="Consolas" w:hAnsi="Consolas"/>
                <w:color w:val="6F5900"/>
                <w:sz w:val="18"/>
              </w:rPr>
              <w:t>auth.guard.spec.ts</w:t>
            </w:r>
          </w:p>
        </w:tc>
        <w:tc>
          <w:tcPr>
            <w:tcW w:type="dxa" w:w="6768"/>
          </w:tcPr>
          <w:p>
            <w:r>
              <w:rPr>
                <w:sz w:val="18"/>
              </w:rPr>
            </w:r>
            <w:r>
              <w:rPr>
                <w:sz w:val="18"/>
              </w:rPr>
              <w:t>Unit tests for the role ladder, including the auditor exclusion.</w:t>
            </w:r>
          </w:p>
        </w:tc>
      </w:tr>
    </w:tbl>
    <w:p/>
    <w:p>
      <w:pPr>
        <w:pStyle w:val="Heading3"/>
      </w:pPr>
      <w:r>
        <w:t>server/src/public</w:t>
      </w:r>
    </w:p>
    <w:tbl>
      <w:tblPr>
        <w:tblStyle w:val="LightGrid-Accent1"/>
        <w:tblW w:type="auto" w:w="0"/>
        <w:tblLook w:firstColumn="1" w:firstRow="1" w:lastColumn="0" w:lastRow="0" w:noHBand="0" w:noVBand="1" w:val="04A0"/>
      </w:tblPr>
      <w:tblGrid>
        <w:gridCol w:w="4824"/>
        <w:gridCol w:w="4824"/>
      </w:tblGrid>
      <w:tr>
        <w:tc>
          <w:tcPr>
            <w:tcW w:type="dxa" w:w="2448"/>
          </w:tcPr>
          <w:p>
            <w:r/>
            <w:r>
              <w:rPr>
                <w:b/>
                <w:sz w:val="18"/>
              </w:rPr>
              <w:t>File</w:t>
            </w:r>
          </w:p>
        </w:tc>
        <w:tc>
          <w:tcPr>
            <w:tcW w:type="dxa" w:w="6768"/>
          </w:tcPr>
          <w:p>
            <w:r/>
            <w:r>
              <w:rPr>
                <w:b/>
                <w:sz w:val="18"/>
              </w:rPr>
              <w:t>Responsibility</w:t>
            </w:r>
          </w:p>
        </w:tc>
      </w:tr>
      <w:tr>
        <w:tc>
          <w:tcPr>
            <w:tcW w:type="dxa" w:w="2448"/>
          </w:tcPr>
          <w:p>
            <w:r>
              <w:rPr>
                <w:sz w:val="18"/>
              </w:rPr>
            </w:r>
            <w:r>
              <w:rPr>
                <w:rFonts w:ascii="Consolas" w:hAnsi="Consolas"/>
                <w:color w:val="6F5900"/>
                <w:sz w:val="18"/>
              </w:rPr>
              <w:t>public.controller.ts</w:t>
            </w:r>
          </w:p>
        </w:tc>
        <w:tc>
          <w:tcPr>
            <w:tcW w:type="dxa" w:w="6768"/>
          </w:tcPr>
          <w:p>
            <w:r>
              <w:rPr>
                <w:sz w:val="18"/>
              </w:rPr>
            </w:r>
            <w:r>
              <w:rPr>
                <w:sz w:val="18"/>
              </w:rPr>
              <w:t>The unauthenticated surface: drafts, verification send and consume, draft status, submission.</w:t>
            </w:r>
          </w:p>
        </w:tc>
      </w:tr>
      <w:tr>
        <w:tc>
          <w:tcPr>
            <w:tcW w:type="dxa" w:w="2448"/>
          </w:tcPr>
          <w:p>
            <w:r>
              <w:rPr>
                <w:sz w:val="18"/>
              </w:rPr>
            </w:r>
            <w:r>
              <w:rPr>
                <w:rFonts w:ascii="Consolas" w:hAnsi="Consolas"/>
                <w:color w:val="6F5900"/>
                <w:sz w:val="18"/>
              </w:rPr>
              <w:t>verification.service.ts</w:t>
            </w:r>
          </w:p>
        </w:tc>
        <w:tc>
          <w:tcPr>
            <w:tcW w:type="dxa" w:w="6768"/>
          </w:tcPr>
          <w:p>
            <w:r>
              <w:rPr>
                <w:sz w:val="18"/>
              </w:rPr>
            </w:r>
            <w:r>
              <w:rPr>
                <w:sz w:val="18"/>
              </w:rPr>
              <w:t>Token generation and single-use consumption, rate limiting, CAPTCHA, uniform responses.</w:t>
            </w:r>
          </w:p>
        </w:tc>
      </w:tr>
      <w:tr>
        <w:tc>
          <w:tcPr>
            <w:tcW w:type="dxa" w:w="2448"/>
          </w:tcPr>
          <w:p>
            <w:r>
              <w:rPr>
                <w:sz w:val="18"/>
              </w:rPr>
            </w:r>
            <w:r>
              <w:rPr>
                <w:rFonts w:ascii="Consolas" w:hAnsi="Consolas"/>
                <w:color w:val="6F5900"/>
                <w:sz w:val="18"/>
              </w:rPr>
              <w:t>intake.service.ts</w:t>
            </w:r>
          </w:p>
        </w:tc>
        <w:tc>
          <w:tcPr>
            <w:tcW w:type="dxa" w:w="6768"/>
          </w:tcPr>
          <w:p>
            <w:r>
              <w:rPr>
                <w:sz w:val="18"/>
              </w:rPr>
            </w:r>
            <w:r>
              <w:rPr>
                <w:sz w:val="18"/>
              </w:rPr>
              <w:t>Turns a verified submission into a case: validation, reference allocation, encryption, SLA clock, acknowledgement, auto-assignment.</w:t>
            </w:r>
          </w:p>
        </w:tc>
      </w:tr>
      <w:tr>
        <w:tc>
          <w:tcPr>
            <w:tcW w:type="dxa" w:w="2448"/>
          </w:tcPr>
          <w:p>
            <w:r>
              <w:rPr>
                <w:sz w:val="18"/>
              </w:rPr>
            </w:r>
            <w:r>
              <w:rPr>
                <w:rFonts w:ascii="Consolas" w:hAnsi="Consolas"/>
                <w:color w:val="6F5900"/>
                <w:sz w:val="18"/>
              </w:rPr>
              <w:t>form-validation.ts</w:t>
            </w:r>
          </w:p>
        </w:tc>
        <w:tc>
          <w:tcPr>
            <w:tcW w:type="dxa" w:w="6768"/>
          </w:tcPr>
          <w:p>
            <w:r>
              <w:rPr>
                <w:sz w:val="18"/>
              </w:rPr>
            </w:r>
            <w:r>
              <w:rPr>
                <w:sz w:val="18"/>
              </w:rPr>
              <w:t>Server-side re-implementation of every client rule, including conditional visibility and datagrid rows.</w:t>
            </w:r>
          </w:p>
        </w:tc>
      </w:tr>
      <w:tr>
        <w:tc>
          <w:tcPr>
            <w:tcW w:type="dxa" w:w="2448"/>
          </w:tcPr>
          <w:p>
            <w:r>
              <w:rPr>
                <w:sz w:val="18"/>
              </w:rPr>
            </w:r>
            <w:r>
              <w:rPr>
                <w:rFonts w:ascii="Consolas" w:hAnsi="Consolas"/>
                <w:color w:val="6F5900"/>
                <w:sz w:val="18"/>
              </w:rPr>
              <w:t>rate-limit.service.ts</w:t>
            </w:r>
          </w:p>
        </w:tc>
        <w:tc>
          <w:tcPr>
            <w:tcW w:type="dxa" w:w="6768"/>
          </w:tcPr>
          <w:p>
            <w:r>
              <w:rPr>
                <w:sz w:val="18"/>
              </w:rPr>
            </w:r>
            <w:r>
              <w:rPr>
                <w:sz w:val="18"/>
              </w:rPr>
              <w:t>Fixed-window counters in PostgreSQL, safe across instances.</w:t>
            </w:r>
          </w:p>
        </w:tc>
      </w:tr>
    </w:tbl>
    <w:p/>
    <w:p>
      <w:pPr>
        <w:pStyle w:val="Heading3"/>
      </w:pPr>
      <w:r>
        <w:t>server/src/cases</w:t>
      </w:r>
    </w:p>
    <w:tbl>
      <w:tblPr>
        <w:tblStyle w:val="LightGrid-Accent1"/>
        <w:tblW w:type="auto" w:w="0"/>
        <w:tblLook w:firstColumn="1" w:firstRow="1" w:lastColumn="0" w:lastRow="0" w:noHBand="0" w:noVBand="1" w:val="04A0"/>
      </w:tblPr>
      <w:tblGrid>
        <w:gridCol w:w="4824"/>
        <w:gridCol w:w="4824"/>
      </w:tblGrid>
      <w:tr>
        <w:tc>
          <w:tcPr>
            <w:tcW w:type="dxa" w:w="2448"/>
          </w:tcPr>
          <w:p>
            <w:r/>
            <w:r>
              <w:rPr>
                <w:b/>
                <w:sz w:val="18"/>
              </w:rPr>
              <w:t>File</w:t>
            </w:r>
          </w:p>
        </w:tc>
        <w:tc>
          <w:tcPr>
            <w:tcW w:type="dxa" w:w="6768"/>
          </w:tcPr>
          <w:p>
            <w:r/>
            <w:r>
              <w:rPr>
                <w:b/>
                <w:sz w:val="18"/>
              </w:rPr>
              <w:t>Responsibility</w:t>
            </w:r>
          </w:p>
        </w:tc>
      </w:tr>
      <w:tr>
        <w:tc>
          <w:tcPr>
            <w:tcW w:type="dxa" w:w="2448"/>
          </w:tcPr>
          <w:p>
            <w:r>
              <w:rPr>
                <w:sz w:val="18"/>
              </w:rPr>
            </w:r>
            <w:r>
              <w:rPr>
                <w:rFonts w:ascii="Consolas" w:hAnsi="Consolas"/>
                <w:color w:val="6F5900"/>
                <w:sz w:val="18"/>
              </w:rPr>
              <w:t>cases.service.ts</w:t>
            </w:r>
          </w:p>
        </w:tc>
        <w:tc>
          <w:tcPr>
            <w:tcW w:type="dxa" w:w="6768"/>
          </w:tcPr>
          <w:p>
            <w:r>
              <w:rPr>
                <w:sz w:val="18"/>
              </w:rPr>
            </w:r>
            <w:r>
              <w:rPr>
                <w:sz w:val="18"/>
              </w:rPr>
              <w:t>Zone-scoped list and detail, decrypting identifiers for display.</w:t>
            </w:r>
          </w:p>
        </w:tc>
      </w:tr>
      <w:tr>
        <w:tc>
          <w:tcPr>
            <w:tcW w:type="dxa" w:w="2448"/>
          </w:tcPr>
          <w:p>
            <w:r>
              <w:rPr>
                <w:sz w:val="18"/>
              </w:rPr>
            </w:r>
            <w:r>
              <w:rPr>
                <w:rFonts w:ascii="Consolas" w:hAnsi="Consolas"/>
                <w:color w:val="6F5900"/>
                <w:sz w:val="18"/>
              </w:rPr>
              <w:t>workflow.service.ts</w:t>
            </w:r>
          </w:p>
        </w:tc>
        <w:tc>
          <w:tcPr>
            <w:tcW w:type="dxa" w:w="6768"/>
          </w:tcPr>
          <w:p>
            <w:r>
              <w:rPr>
                <w:sz w:val="18"/>
              </w:rPr>
            </w:r>
            <w:r>
              <w:rPr>
                <w:sz w:val="18"/>
              </w:rPr>
              <w:t>Status transitions, the legality matrix, extension and closure rules.</w:t>
            </w:r>
          </w:p>
        </w:tc>
      </w:tr>
      <w:tr>
        <w:tc>
          <w:tcPr>
            <w:tcW w:type="dxa" w:w="2448"/>
          </w:tcPr>
          <w:p>
            <w:r>
              <w:rPr>
                <w:sz w:val="18"/>
              </w:rPr>
            </w:r>
            <w:r>
              <w:rPr>
                <w:rFonts w:ascii="Consolas" w:hAnsi="Consolas"/>
                <w:color w:val="6F5900"/>
                <w:sz w:val="18"/>
              </w:rPr>
              <w:t>assignment.service.ts</w:t>
            </w:r>
          </w:p>
        </w:tc>
        <w:tc>
          <w:tcPr>
            <w:tcW w:type="dxa" w:w="6768"/>
          </w:tcPr>
          <w:p>
            <w:r>
              <w:rPr>
                <w:sz w:val="18"/>
              </w:rPr>
            </w:r>
            <w:r>
              <w:rPr>
                <w:sz w:val="18"/>
              </w:rPr>
              <w:t>Auto-assignment strategies, out-of-office skipping, assignee notification.</w:t>
            </w:r>
          </w:p>
        </w:tc>
      </w:tr>
      <w:tr>
        <w:tc>
          <w:tcPr>
            <w:tcW w:type="dxa" w:w="2448"/>
          </w:tcPr>
          <w:p>
            <w:r>
              <w:rPr>
                <w:sz w:val="18"/>
              </w:rPr>
            </w:r>
            <w:r>
              <w:rPr>
                <w:rFonts w:ascii="Consolas" w:hAnsi="Consolas"/>
                <w:color w:val="6F5900"/>
                <w:sz w:val="18"/>
              </w:rPr>
              <w:t>sla.service.ts</w:t>
            </w:r>
          </w:p>
        </w:tc>
        <w:tc>
          <w:tcPr>
            <w:tcW w:type="dxa" w:w="6768"/>
          </w:tcPr>
          <w:p>
            <w:r>
              <w:rPr>
                <w:sz w:val="18"/>
              </w:rPr>
            </w:r>
            <w:r>
              <w:rPr>
                <w:sz w:val="18"/>
              </w:rPr>
              <w:t>The hourly sweep, breach detection, reminders, pause and resume.</w:t>
            </w:r>
          </w:p>
        </w:tc>
      </w:tr>
      <w:tr>
        <w:tc>
          <w:tcPr>
            <w:tcW w:type="dxa" w:w="2448"/>
          </w:tcPr>
          <w:p>
            <w:r>
              <w:rPr>
                <w:sz w:val="18"/>
              </w:rPr>
            </w:r>
            <w:r>
              <w:rPr>
                <w:rFonts w:ascii="Consolas" w:hAnsi="Consolas"/>
                <w:color w:val="6F5900"/>
                <w:sz w:val="18"/>
              </w:rPr>
              <w:t>outbound.service.ts</w:t>
            </w:r>
          </w:p>
        </w:tc>
        <w:tc>
          <w:tcPr>
            <w:tcW w:type="dxa" w:w="6768"/>
          </w:tcPr>
          <w:p>
            <w:r>
              <w:rPr>
                <w:sz w:val="18"/>
              </w:rPr>
            </w:r>
            <w:r>
              <w:rPr>
                <w:sz w:val="18"/>
              </w:rPr>
              <w:t>Template CRUD, draft rendering with variable substitution, sending and logging.</w:t>
            </w:r>
          </w:p>
        </w:tc>
      </w:tr>
      <w:tr>
        <w:tc>
          <w:tcPr>
            <w:tcW w:type="dxa" w:w="2448"/>
          </w:tcPr>
          <w:p>
            <w:r>
              <w:rPr>
                <w:sz w:val="18"/>
              </w:rPr>
            </w:r>
            <w:r>
              <w:rPr>
                <w:rFonts w:ascii="Consolas" w:hAnsi="Consolas"/>
                <w:color w:val="6F5900"/>
                <w:sz w:val="18"/>
              </w:rPr>
              <w:t>dashboard.service.ts</w:t>
            </w:r>
          </w:p>
        </w:tc>
        <w:tc>
          <w:tcPr>
            <w:tcW w:type="dxa" w:w="6768"/>
          </w:tcPr>
          <w:p>
            <w:r>
              <w:rPr>
                <w:sz w:val="18"/>
              </w:rPr>
            </w:r>
            <w:r>
              <w:rPr>
                <w:sz w:val="18"/>
              </w:rPr>
              <w:t>The aggregate queries behind the dashboard.</w:t>
            </w:r>
          </w:p>
        </w:tc>
      </w:tr>
    </w:tbl>
    <w:p/>
    <w:p>
      <w:pPr>
        <w:pStyle w:val="Heading3"/>
      </w:pPr>
      <w:r>
        <w:t>server/src/forms</w:t>
      </w:r>
    </w:p>
    <w:tbl>
      <w:tblPr>
        <w:tblStyle w:val="LightGrid-Accent1"/>
        <w:tblW w:type="auto" w:w="0"/>
        <w:tblLook w:firstColumn="1" w:firstRow="1" w:lastColumn="0" w:lastRow="0" w:noHBand="0" w:noVBand="1" w:val="04A0"/>
      </w:tblPr>
      <w:tblGrid>
        <w:gridCol w:w="4824"/>
        <w:gridCol w:w="4824"/>
      </w:tblGrid>
      <w:tr>
        <w:tc>
          <w:tcPr>
            <w:tcW w:type="dxa" w:w="2448"/>
          </w:tcPr>
          <w:p>
            <w:r/>
            <w:r>
              <w:rPr>
                <w:b/>
                <w:sz w:val="18"/>
              </w:rPr>
              <w:t>File</w:t>
            </w:r>
          </w:p>
        </w:tc>
        <w:tc>
          <w:tcPr>
            <w:tcW w:type="dxa" w:w="6768"/>
          </w:tcPr>
          <w:p>
            <w:r/>
            <w:r>
              <w:rPr>
                <w:b/>
                <w:sz w:val="18"/>
              </w:rPr>
              <w:t>Responsibility</w:t>
            </w:r>
          </w:p>
        </w:tc>
      </w:tr>
      <w:tr>
        <w:tc>
          <w:tcPr>
            <w:tcW w:type="dxa" w:w="2448"/>
          </w:tcPr>
          <w:p>
            <w:r>
              <w:rPr>
                <w:sz w:val="18"/>
              </w:rPr>
            </w:r>
            <w:r>
              <w:rPr>
                <w:rFonts w:ascii="Consolas" w:hAnsi="Consolas"/>
                <w:color w:val="6F5900"/>
                <w:sz w:val="18"/>
              </w:rPr>
              <w:t>forms.service.ts</w:t>
            </w:r>
          </w:p>
        </w:tc>
        <w:tc>
          <w:tcPr>
            <w:tcW w:type="dxa" w:w="6768"/>
          </w:tcPr>
          <w:p>
            <w:r>
              <w:rPr>
                <w:sz w:val="18"/>
              </w:rPr>
            </w:r>
            <w:r>
              <w:rPr>
                <w:sz w:val="18"/>
              </w:rPr>
              <w:t xml:space="preserve">Form listing, retrieval, publication as a new version, restore, and </w:t>
            </w:r>
            <w:r>
              <w:rPr>
                <w:rFonts w:ascii="Consolas" w:hAnsi="Consolas"/>
                <w:color w:val="6F5900"/>
                <w:sz w:val="18"/>
              </w:rPr>
              <w:t>validateSchema</w:t>
            </w:r>
            <w:r>
              <w:rPr>
                <w:sz w:val="18"/>
              </w:rPr>
              <w:t xml:space="preserve"> which refuses anything the renderer cannot draw.</w:t>
            </w:r>
          </w:p>
        </w:tc>
      </w:tr>
      <w:tr>
        <w:tc>
          <w:tcPr>
            <w:tcW w:type="dxa" w:w="2448"/>
          </w:tcPr>
          <w:p>
            <w:r>
              <w:rPr>
                <w:sz w:val="18"/>
              </w:rPr>
            </w:r>
            <w:r>
              <w:rPr>
                <w:rFonts w:ascii="Consolas" w:hAnsi="Consolas"/>
                <w:color w:val="6F5900"/>
                <w:sz w:val="18"/>
              </w:rPr>
              <w:t>forms.controller.ts</w:t>
            </w:r>
          </w:p>
        </w:tc>
        <w:tc>
          <w:tcPr>
            <w:tcW w:type="dxa" w:w="6768"/>
          </w:tcPr>
          <w:p>
            <w:r>
              <w:rPr>
                <w:sz w:val="18"/>
              </w:rPr>
            </w:r>
            <w:r>
              <w:rPr>
                <w:sz w:val="18"/>
              </w:rPr>
              <w:t>Admin editing endpoints, plus the public schema delivery that makes edits go live.</w:t>
            </w:r>
          </w:p>
        </w:tc>
      </w:tr>
      <w:tr>
        <w:tc>
          <w:tcPr>
            <w:tcW w:type="dxa" w:w="2448"/>
          </w:tcPr>
          <w:p>
            <w:r>
              <w:rPr>
                <w:sz w:val="18"/>
              </w:rPr>
            </w:r>
            <w:r>
              <w:rPr>
                <w:rFonts w:ascii="Consolas" w:hAnsi="Consolas"/>
                <w:color w:val="6F5900"/>
                <w:sz w:val="18"/>
              </w:rPr>
              <w:t>sla.controller.ts</w:t>
            </w:r>
          </w:p>
        </w:tc>
        <w:tc>
          <w:tcPr>
            <w:tcW w:type="dxa" w:w="6768"/>
          </w:tcPr>
          <w:p>
            <w:r>
              <w:rPr>
                <w:sz w:val="18"/>
              </w:rPr>
            </w:r>
            <w:r>
              <w:rPr>
                <w:sz w:val="18"/>
              </w:rPr>
              <w:t>SLA policy CRUD per zone and request type.</w:t>
            </w:r>
          </w:p>
        </w:tc>
      </w:tr>
    </w:tbl>
    <w:p/>
    <w:p>
      <w:pPr>
        <w:pStyle w:val="Heading3"/>
      </w:pPr>
      <w:r>
        <w:t>server/src/email</w:t>
      </w:r>
    </w:p>
    <w:tbl>
      <w:tblPr>
        <w:tblStyle w:val="LightGrid-Accent1"/>
        <w:tblW w:type="auto" w:w="0"/>
        <w:tblLook w:firstColumn="1" w:firstRow="1" w:lastColumn="0" w:lastRow="0" w:noHBand="0" w:noVBand="1" w:val="04A0"/>
      </w:tblPr>
      <w:tblGrid>
        <w:gridCol w:w="4824"/>
        <w:gridCol w:w="4824"/>
      </w:tblGrid>
      <w:tr>
        <w:tc>
          <w:tcPr>
            <w:tcW w:type="dxa" w:w="2448"/>
          </w:tcPr>
          <w:p>
            <w:r/>
            <w:r>
              <w:rPr>
                <w:b/>
                <w:sz w:val="18"/>
              </w:rPr>
              <w:t>File</w:t>
            </w:r>
          </w:p>
        </w:tc>
        <w:tc>
          <w:tcPr>
            <w:tcW w:type="dxa" w:w="6768"/>
          </w:tcPr>
          <w:p>
            <w:r/>
            <w:r>
              <w:rPr>
                <w:b/>
                <w:sz w:val="18"/>
              </w:rPr>
              <w:t>Responsibility</w:t>
            </w:r>
          </w:p>
        </w:tc>
      </w:tr>
      <w:tr>
        <w:tc>
          <w:tcPr>
            <w:tcW w:type="dxa" w:w="2448"/>
          </w:tcPr>
          <w:p>
            <w:r>
              <w:rPr>
                <w:sz w:val="18"/>
              </w:rPr>
            </w:r>
            <w:r>
              <w:rPr>
                <w:rFonts w:ascii="Consolas" w:hAnsi="Consolas"/>
                <w:color w:val="6F5900"/>
                <w:sz w:val="18"/>
              </w:rPr>
              <w:t>email-provider.interface.ts</w:t>
            </w:r>
          </w:p>
        </w:tc>
        <w:tc>
          <w:tcPr>
            <w:tcW w:type="dxa" w:w="6768"/>
          </w:tcPr>
          <w:p>
            <w:r>
              <w:rPr>
                <w:sz w:val="18"/>
              </w:rPr>
            </w:r>
            <w:r>
              <w:rPr>
                <w:sz w:val="18"/>
              </w:rPr>
              <w:t>The single seam every adapter implements.</w:t>
            </w:r>
          </w:p>
        </w:tc>
      </w:tr>
      <w:tr>
        <w:tc>
          <w:tcPr>
            <w:tcW w:type="dxa" w:w="2448"/>
          </w:tcPr>
          <w:p>
            <w:r>
              <w:rPr>
                <w:sz w:val="18"/>
              </w:rPr>
            </w:r>
            <w:r>
              <w:rPr>
                <w:rFonts w:ascii="Consolas" w:hAnsi="Consolas"/>
                <w:color w:val="6F5900"/>
                <w:sz w:val="18"/>
              </w:rPr>
              <w:t>email.module.ts</w:t>
            </w:r>
          </w:p>
        </w:tc>
        <w:tc>
          <w:tcPr>
            <w:tcW w:type="dxa" w:w="6768"/>
          </w:tcPr>
          <w:p>
            <w:r>
              <w:rPr>
                <w:sz w:val="18"/>
              </w:rPr>
            </w:r>
            <w:r>
              <w:rPr>
                <w:rFonts w:ascii="Consolas" w:hAnsi="Consolas"/>
                <w:color w:val="6F5900"/>
                <w:sz w:val="18"/>
              </w:rPr>
              <w:t>EmailDispatcher</w:t>
            </w:r>
            <w:r>
              <w:rPr>
                <w:sz w:val="18"/>
              </w:rPr>
              <w:t>, which resolves the active adapter per call so providers can be switched at runtime.</w:t>
            </w:r>
          </w:p>
        </w:tc>
      </w:tr>
      <w:tr>
        <w:tc>
          <w:tcPr>
            <w:tcW w:type="dxa" w:w="2448"/>
          </w:tcPr>
          <w:p>
            <w:r>
              <w:rPr>
                <w:sz w:val="18"/>
              </w:rPr>
            </w:r>
            <w:r>
              <w:rPr>
                <w:rFonts w:ascii="Consolas" w:hAnsi="Consolas"/>
                <w:color w:val="6F5900"/>
                <w:sz w:val="18"/>
              </w:rPr>
              <w:t>smtp.ts</w:t>
            </w:r>
          </w:p>
        </w:tc>
        <w:tc>
          <w:tcPr>
            <w:tcW w:type="dxa" w:w="6768"/>
          </w:tcPr>
          <w:p>
            <w:r>
              <w:rPr>
                <w:sz w:val="18"/>
              </w:rPr>
            </w:r>
            <w:r>
              <w:rPr>
                <w:sz w:val="18"/>
              </w:rPr>
              <w:t>Shared SMTP transport with IPv4 pinning and timeouts, plus the staged diagnostic.</w:t>
            </w:r>
          </w:p>
        </w:tc>
      </w:tr>
      <w:tr>
        <w:tc>
          <w:tcPr>
            <w:tcW w:type="dxa" w:w="2448"/>
          </w:tcPr>
          <w:p>
            <w:r>
              <w:rPr>
                <w:sz w:val="18"/>
              </w:rPr>
            </w:r>
            <w:r>
              <w:rPr>
                <w:rFonts w:ascii="Consolas" w:hAnsi="Consolas"/>
                <w:color w:val="6F5900"/>
                <w:sz w:val="18"/>
              </w:rPr>
              <w:t>gmail.provider.ts</w:t>
            </w:r>
          </w:p>
        </w:tc>
        <w:tc>
          <w:tcPr>
            <w:tcW w:type="dxa" w:w="6768"/>
          </w:tcPr>
          <w:p>
            <w:r>
              <w:rPr>
                <w:sz w:val="18"/>
              </w:rPr>
            </w:r>
            <w:r>
              <w:rPr>
                <w:sz w:val="18"/>
              </w:rPr>
              <w:t>Gmail over SMTP app password or the Gmail API with OAuth2. Only the API path works on this host.</w:t>
            </w:r>
          </w:p>
        </w:tc>
      </w:tr>
      <w:tr>
        <w:tc>
          <w:tcPr>
            <w:tcW w:type="dxa" w:w="2448"/>
          </w:tcPr>
          <w:p>
            <w:r>
              <w:rPr>
                <w:sz w:val="18"/>
              </w:rPr>
            </w:r>
            <w:r>
              <w:rPr>
                <w:rFonts w:ascii="Consolas" w:hAnsi="Consolas"/>
                <w:color w:val="6F5900"/>
                <w:sz w:val="18"/>
              </w:rPr>
              <w:t>smtp.provider.ts</w:t>
            </w:r>
          </w:p>
        </w:tc>
        <w:tc>
          <w:tcPr>
            <w:tcW w:type="dxa" w:w="6768"/>
          </w:tcPr>
          <w:p>
            <w:r>
              <w:rPr>
                <w:sz w:val="18"/>
              </w:rPr>
            </w:r>
            <w:r>
              <w:rPr>
                <w:sz w:val="18"/>
              </w:rPr>
              <w:t>Any SMTP server.</w:t>
            </w:r>
          </w:p>
        </w:tc>
      </w:tr>
      <w:tr>
        <w:tc>
          <w:tcPr>
            <w:tcW w:type="dxa" w:w="2448"/>
          </w:tcPr>
          <w:p>
            <w:r>
              <w:rPr>
                <w:sz w:val="18"/>
              </w:rPr>
            </w:r>
            <w:r>
              <w:rPr>
                <w:rFonts w:ascii="Consolas" w:hAnsi="Consolas"/>
                <w:color w:val="6F5900"/>
                <w:sz w:val="18"/>
              </w:rPr>
              <w:t>resend.provider.ts</w:t>
            </w:r>
          </w:p>
        </w:tc>
        <w:tc>
          <w:tcPr>
            <w:tcW w:type="dxa" w:w="6768"/>
          </w:tcPr>
          <w:p>
            <w:r>
              <w:rPr>
                <w:sz w:val="18"/>
              </w:rPr>
            </w:r>
            <w:r>
              <w:rPr>
                <w:sz w:val="18"/>
              </w:rPr>
              <w:t>Resend over HTTPS.</w:t>
            </w:r>
          </w:p>
        </w:tc>
      </w:tr>
      <w:tr>
        <w:tc>
          <w:tcPr>
            <w:tcW w:type="dxa" w:w="2448"/>
          </w:tcPr>
          <w:p>
            <w:r>
              <w:rPr>
                <w:sz w:val="18"/>
              </w:rPr>
            </w:r>
            <w:r>
              <w:rPr>
                <w:rFonts w:ascii="Consolas" w:hAnsi="Consolas"/>
                <w:color w:val="6F5900"/>
                <w:sz w:val="18"/>
              </w:rPr>
              <w:t>graph.provider.ts</w:t>
            </w:r>
          </w:p>
        </w:tc>
        <w:tc>
          <w:tcPr>
            <w:tcW w:type="dxa" w:w="6768"/>
          </w:tcPr>
          <w:p>
            <w:r>
              <w:rPr>
                <w:sz w:val="18"/>
              </w:rPr>
            </w:r>
            <w:r>
              <w:rPr>
                <w:sz w:val="18"/>
              </w:rPr>
              <w:t>Microsoft Graph, sending as a shared mailbox.</w:t>
            </w:r>
          </w:p>
        </w:tc>
      </w:tr>
      <w:tr>
        <w:tc>
          <w:tcPr>
            <w:tcW w:type="dxa" w:w="2448"/>
          </w:tcPr>
          <w:p>
            <w:r>
              <w:rPr>
                <w:sz w:val="18"/>
              </w:rPr>
            </w:r>
            <w:r>
              <w:rPr>
                <w:rFonts w:ascii="Consolas" w:hAnsi="Consolas"/>
                <w:color w:val="6F5900"/>
                <w:sz w:val="18"/>
              </w:rPr>
              <w:t>console.provider.ts</w:t>
            </w:r>
          </w:p>
        </w:tc>
        <w:tc>
          <w:tcPr>
            <w:tcW w:type="dxa" w:w="6768"/>
          </w:tcPr>
          <w:p>
            <w:r>
              <w:rPr>
                <w:sz w:val="18"/>
              </w:rPr>
            </w:r>
            <w:r>
              <w:rPr>
                <w:sz w:val="18"/>
              </w:rPr>
              <w:t>Development adapter that writes to the log. Refused in production.</w:t>
            </w:r>
          </w:p>
        </w:tc>
      </w:tr>
      <w:tr>
        <w:tc>
          <w:tcPr>
            <w:tcW w:type="dxa" w:w="2448"/>
          </w:tcPr>
          <w:p>
            <w:r>
              <w:rPr>
                <w:sz w:val="18"/>
              </w:rPr>
            </w:r>
            <w:r>
              <w:rPr>
                <w:rFonts w:ascii="Consolas" w:hAnsi="Consolas"/>
                <w:color w:val="6F5900"/>
                <w:sz w:val="18"/>
              </w:rPr>
              <w:t>templates.ts</w:t>
            </w:r>
          </w:p>
        </w:tc>
        <w:tc>
          <w:tcPr>
            <w:tcW w:type="dxa" w:w="6768"/>
          </w:tcPr>
          <w:p>
            <w:r>
              <w:rPr>
                <w:sz w:val="18"/>
              </w:rPr>
            </w:r>
            <w:r>
              <w:rPr>
                <w:sz w:val="18"/>
              </w:rPr>
              <w:t>System transactional templates with strict variable substitution.</w:t>
            </w:r>
          </w:p>
        </w:tc>
      </w:tr>
    </w:tbl>
    <w:p/>
    <w:p>
      <w:pPr>
        <w:pStyle w:val="Heading3"/>
      </w:pPr>
      <w:r>
        <w:t>server/src/settings and audit</w:t>
      </w:r>
    </w:p>
    <w:tbl>
      <w:tblPr>
        <w:tblStyle w:val="LightGrid-Accent1"/>
        <w:tblW w:type="auto" w:w="0"/>
        <w:tblLook w:firstColumn="1" w:firstRow="1" w:lastColumn="0" w:lastRow="0" w:noHBand="0" w:noVBand="1" w:val="04A0"/>
      </w:tblPr>
      <w:tblGrid>
        <w:gridCol w:w="4824"/>
        <w:gridCol w:w="4824"/>
      </w:tblGrid>
      <w:tr>
        <w:tc>
          <w:tcPr>
            <w:tcW w:type="dxa" w:w="2736"/>
          </w:tcPr>
          <w:p>
            <w:r/>
            <w:r>
              <w:rPr>
                <w:b/>
                <w:sz w:val="18"/>
              </w:rPr>
              <w:t>File</w:t>
            </w:r>
          </w:p>
        </w:tc>
        <w:tc>
          <w:tcPr>
            <w:tcW w:type="dxa" w:w="6480"/>
          </w:tcPr>
          <w:p>
            <w:r/>
            <w:r>
              <w:rPr>
                <w:b/>
                <w:sz w:val="18"/>
              </w:rPr>
              <w:t>Responsibility</w:t>
            </w:r>
          </w:p>
        </w:tc>
      </w:tr>
      <w:tr>
        <w:tc>
          <w:tcPr>
            <w:tcW w:type="dxa" w:w="2736"/>
          </w:tcPr>
          <w:p>
            <w:r>
              <w:rPr>
                <w:sz w:val="18"/>
              </w:rPr>
            </w:r>
            <w:r>
              <w:rPr>
                <w:rFonts w:ascii="Consolas" w:hAnsi="Consolas"/>
                <w:color w:val="6F5900"/>
                <w:sz w:val="18"/>
              </w:rPr>
              <w:t>settings/settings.catalog.ts</w:t>
            </w:r>
          </w:p>
        </w:tc>
        <w:tc>
          <w:tcPr>
            <w:tcW w:type="dxa" w:w="6480"/>
          </w:tcPr>
          <w:p>
            <w:r>
              <w:rPr>
                <w:sz w:val="18"/>
              </w:rPr>
            </w:r>
            <w:r>
              <w:rPr>
                <w:sz w:val="18"/>
              </w:rPr>
              <w:t>Declarative field catalog. Adding an entry here is all it takes to surface a new setting in the UI.</w:t>
            </w:r>
          </w:p>
        </w:tc>
      </w:tr>
      <w:tr>
        <w:tc>
          <w:tcPr>
            <w:tcW w:type="dxa" w:w="2736"/>
          </w:tcPr>
          <w:p>
            <w:r>
              <w:rPr>
                <w:sz w:val="18"/>
              </w:rPr>
            </w:r>
            <w:r>
              <w:rPr>
                <w:rFonts w:ascii="Consolas" w:hAnsi="Consolas"/>
                <w:color w:val="6F5900"/>
                <w:sz w:val="18"/>
              </w:rPr>
              <w:t>settings/settings.service.ts</w:t>
            </w:r>
          </w:p>
        </w:tc>
        <w:tc>
          <w:tcPr>
            <w:tcW w:type="dxa" w:w="6480"/>
          </w:tcPr>
          <w:p>
            <w:r>
              <w:rPr>
                <w:sz w:val="18"/>
              </w:rPr>
            </w:r>
            <w:r>
              <w:rPr>
                <w:sz w:val="18"/>
              </w:rPr>
              <w:t>Resolution order, in-memory cache, encryption of secrets, validation, audit.</w:t>
            </w:r>
          </w:p>
        </w:tc>
      </w:tr>
      <w:tr>
        <w:tc>
          <w:tcPr>
            <w:tcW w:type="dxa" w:w="2736"/>
          </w:tcPr>
          <w:p>
            <w:r>
              <w:rPr>
                <w:sz w:val="18"/>
              </w:rPr>
            </w:r>
            <w:r>
              <w:rPr>
                <w:rFonts w:ascii="Consolas" w:hAnsi="Consolas"/>
                <w:color w:val="6F5900"/>
                <w:sz w:val="18"/>
              </w:rPr>
              <w:t>settings/settings.controller.ts</w:t>
            </w:r>
          </w:p>
        </w:tc>
        <w:tc>
          <w:tcPr>
            <w:tcW w:type="dxa" w:w="6480"/>
          </w:tcPr>
          <w:p>
            <w:r>
              <w:rPr>
                <w:sz w:val="18"/>
              </w:rPr>
            </w:r>
            <w:r>
              <w:rPr>
                <w:sz w:val="18"/>
              </w:rPr>
              <w:t>Super-admin API, connection check, diagnostics, test send, and starting the Gmail authorisation.</w:t>
            </w:r>
          </w:p>
        </w:tc>
      </w:tr>
      <w:tr>
        <w:tc>
          <w:tcPr>
            <w:tcW w:type="dxa" w:w="2736"/>
          </w:tcPr>
          <w:p>
            <w:r>
              <w:rPr>
                <w:sz w:val="18"/>
              </w:rPr>
            </w:r>
            <w:r>
              <w:rPr>
                <w:rFonts w:ascii="Consolas" w:hAnsi="Consolas"/>
                <w:color w:val="6F5900"/>
                <w:sz w:val="18"/>
              </w:rPr>
              <w:t>settings/gmail-oauth.service.ts</w:t>
            </w:r>
          </w:p>
        </w:tc>
        <w:tc>
          <w:tcPr>
            <w:tcW w:type="dxa" w:w="6480"/>
          </w:tcPr>
          <w:p>
            <w:r>
              <w:rPr>
                <w:sz w:val="18"/>
              </w:rPr>
            </w:r>
            <w:r>
              <w:rPr>
                <w:sz w:val="18"/>
              </w:rPr>
              <w:t xml:space="preserve">The OAuth2 authorisation-code flow: builds the consent URL, holds the pending </w:t>
            </w:r>
            <w:r>
              <w:rPr>
                <w:rFonts w:ascii="Consolas" w:hAnsi="Consolas"/>
                <w:color w:val="6F5900"/>
                <w:sz w:val="18"/>
              </w:rPr>
              <w:t>state</w:t>
            </w:r>
            <w:r>
              <w:rPr>
                <w:sz w:val="18"/>
              </w:rPr>
              <w:t>, exchanges the code, stores the refresh token.</w:t>
            </w:r>
          </w:p>
        </w:tc>
      </w:tr>
      <w:tr>
        <w:tc>
          <w:tcPr>
            <w:tcW w:type="dxa" w:w="2736"/>
          </w:tcPr>
          <w:p>
            <w:r>
              <w:rPr>
                <w:sz w:val="18"/>
              </w:rPr>
            </w:r>
            <w:r>
              <w:rPr>
                <w:rFonts w:ascii="Consolas" w:hAnsi="Consolas"/>
                <w:color w:val="6F5900"/>
                <w:sz w:val="18"/>
              </w:rPr>
              <w:t>settings/gmail-callback.controller.ts</w:t>
            </w:r>
          </w:p>
        </w:tc>
        <w:tc>
          <w:tcPr>
            <w:tcW w:type="dxa" w:w="6480"/>
          </w:tcPr>
          <w:p>
            <w:r>
              <w:rPr>
                <w:sz w:val="18"/>
              </w:rPr>
            </w:r>
            <w:r>
              <w:rPr>
                <w:sz w:val="18"/>
              </w:rPr>
              <w:t>The unauthenticated redirect target Google returns to. Renders the success or failure page.</w:t>
            </w:r>
          </w:p>
        </w:tc>
      </w:tr>
      <w:tr>
        <w:tc>
          <w:tcPr>
            <w:tcW w:type="dxa" w:w="2736"/>
          </w:tcPr>
          <w:p>
            <w:r>
              <w:rPr>
                <w:sz w:val="18"/>
              </w:rPr>
            </w:r>
            <w:r>
              <w:rPr>
                <w:rFonts w:ascii="Consolas" w:hAnsi="Consolas"/>
                <w:color w:val="6F5900"/>
                <w:sz w:val="18"/>
              </w:rPr>
              <w:t>audit/audit.service.ts</w:t>
            </w:r>
          </w:p>
        </w:tc>
        <w:tc>
          <w:tcPr>
            <w:tcW w:type="dxa" w:w="6480"/>
          </w:tcPr>
          <w:p>
            <w:r>
              <w:rPr>
                <w:sz w:val="18"/>
              </w:rPr>
            </w:r>
            <w:r>
              <w:rPr>
                <w:sz w:val="18"/>
              </w:rPr>
              <w:t>The single writer to the append-only audit log.</w:t>
            </w:r>
          </w:p>
        </w:tc>
      </w:tr>
    </w:tbl>
    <w:p/>
    <w:p>
      <w:pPr>
        <w:pStyle w:val="Heading2"/>
      </w:pPr>
      <w:r>
        <w:t>2.3 The admin console</w:t>
      </w:r>
    </w:p>
    <w:tbl>
      <w:tblPr>
        <w:tblStyle w:val="LightGrid-Accent1"/>
        <w:tblW w:type="auto" w:w="0"/>
        <w:tblLook w:firstColumn="1" w:firstRow="1" w:lastColumn="0" w:lastRow="0" w:noHBand="0" w:noVBand="1" w:val="04A0"/>
      </w:tblPr>
      <w:tblGrid>
        <w:gridCol w:w="4824"/>
        <w:gridCol w:w="4824"/>
      </w:tblGrid>
      <w:tr>
        <w:tc>
          <w:tcPr>
            <w:tcW w:type="dxa" w:w="2880"/>
          </w:tcPr>
          <w:p>
            <w:r/>
            <w:r>
              <w:rPr>
                <w:b/>
                <w:sz w:val="18"/>
              </w:rPr>
              <w:t>Path</w:t>
            </w:r>
          </w:p>
        </w:tc>
        <w:tc>
          <w:tcPr>
            <w:tcW w:type="dxa" w:w="6336"/>
          </w:tcPr>
          <w:p>
            <w:r/>
            <w:r>
              <w:rPr>
                <w:b/>
                <w:sz w:val="18"/>
              </w:rPr>
              <w:t>Responsibility</w:t>
            </w:r>
          </w:p>
        </w:tc>
      </w:tr>
      <w:tr>
        <w:tc>
          <w:tcPr>
            <w:tcW w:type="dxa" w:w="2880"/>
          </w:tcPr>
          <w:p>
            <w:r>
              <w:rPr>
                <w:sz w:val="18"/>
              </w:rPr>
            </w:r>
            <w:r>
              <w:rPr>
                <w:rFonts w:ascii="Consolas" w:hAnsi="Consolas"/>
                <w:color w:val="6F5900"/>
                <w:sz w:val="18"/>
              </w:rPr>
              <w:t>src/lib/theme.tsx</w:t>
            </w:r>
          </w:p>
        </w:tc>
        <w:tc>
          <w:tcPr>
            <w:tcW w:type="dxa" w:w="6336"/>
          </w:tcPr>
          <w:p>
            <w:r>
              <w:rPr>
                <w:sz w:val="18"/>
              </w:rPr>
            </w:r>
            <w:r>
              <w:rPr>
                <w:sz w:val="18"/>
              </w:rPr>
              <w:t>Light, dark and system theme with a pre-paint boot script so there is no flash.</w:t>
            </w:r>
          </w:p>
        </w:tc>
      </w:tr>
      <w:tr>
        <w:tc>
          <w:tcPr>
            <w:tcW w:type="dxa" w:w="2880"/>
          </w:tcPr>
          <w:p>
            <w:r>
              <w:rPr>
                <w:sz w:val="18"/>
              </w:rPr>
            </w:r>
            <w:r>
              <w:rPr>
                <w:rFonts w:ascii="Consolas" w:hAnsi="Consolas"/>
                <w:color w:val="6F5900"/>
                <w:sz w:val="18"/>
              </w:rPr>
              <w:t>src/lib/api.ts</w:t>
            </w:r>
          </w:p>
        </w:tc>
        <w:tc>
          <w:tcPr>
            <w:tcW w:type="dxa" w:w="6336"/>
          </w:tcPr>
          <w:p>
            <w:r>
              <w:rPr>
                <w:sz w:val="18"/>
              </w:rPr>
            </w:r>
            <w:r>
              <w:rPr>
                <w:sz w:val="18"/>
              </w:rPr>
              <w:t>The typed fetch wrapper and every shared type.</w:t>
            </w:r>
          </w:p>
        </w:tc>
      </w:tr>
      <w:tr>
        <w:tc>
          <w:tcPr>
            <w:tcW w:type="dxa" w:w="2880"/>
          </w:tcPr>
          <w:p>
            <w:r>
              <w:rPr>
                <w:sz w:val="18"/>
              </w:rPr>
            </w:r>
            <w:r>
              <w:rPr>
                <w:rFonts w:ascii="Consolas" w:hAnsi="Consolas"/>
                <w:color w:val="6F5900"/>
                <w:sz w:val="18"/>
              </w:rPr>
              <w:t>src/lib/formTree.ts</w:t>
            </w:r>
          </w:p>
        </w:tc>
        <w:tc>
          <w:tcPr>
            <w:tcW w:type="dxa" w:w="6336"/>
          </w:tcPr>
          <w:p>
            <w:r>
              <w:rPr>
                <w:sz w:val="18"/>
              </w:rPr>
            </w:r>
            <w:r>
              <w:rPr>
                <w:sz w:val="18"/>
              </w:rPr>
              <w:t>Pure helpers for editing a form.io tree: flatten, move, update, remove, key uniqueness.</w:t>
            </w:r>
          </w:p>
        </w:tc>
      </w:tr>
      <w:tr>
        <w:tc>
          <w:tcPr>
            <w:tcW w:type="dxa" w:w="2880"/>
          </w:tcPr>
          <w:p>
            <w:r>
              <w:rPr>
                <w:sz w:val="18"/>
              </w:rPr>
            </w:r>
            <w:r>
              <w:rPr>
                <w:rFonts w:ascii="Consolas" w:hAnsi="Consolas"/>
                <w:color w:val="6F5900"/>
                <w:sz w:val="18"/>
              </w:rPr>
              <w:t>src/components/ui.tsx</w:t>
            </w:r>
          </w:p>
        </w:tc>
        <w:tc>
          <w:tcPr>
            <w:tcW w:type="dxa" w:w="6336"/>
          </w:tcPr>
          <w:p>
            <w:r>
              <w:rPr>
                <w:sz w:val="18"/>
              </w:rPr>
            </w:r>
            <w:r>
              <w:rPr>
                <w:sz w:val="18"/>
              </w:rPr>
              <w:t>The primitive library: cards, buttons, fields, tables, modals, badges.</w:t>
            </w:r>
          </w:p>
        </w:tc>
      </w:tr>
      <w:tr>
        <w:tc>
          <w:tcPr>
            <w:tcW w:type="dxa" w:w="2880"/>
          </w:tcPr>
          <w:p>
            <w:r>
              <w:rPr>
                <w:sz w:val="18"/>
              </w:rPr>
            </w:r>
            <w:r>
              <w:rPr>
                <w:rFonts w:ascii="Consolas" w:hAnsi="Consolas"/>
                <w:color w:val="6F5900"/>
                <w:sz w:val="18"/>
              </w:rPr>
              <w:t>src/components/AppShell.tsx</w:t>
            </w:r>
          </w:p>
        </w:tc>
        <w:tc>
          <w:tcPr>
            <w:tcW w:type="dxa" w:w="6336"/>
          </w:tcPr>
          <w:p>
            <w:r>
              <w:rPr>
                <w:sz w:val="18"/>
              </w:rPr>
            </w:r>
            <w:r>
              <w:rPr>
                <w:sz w:val="18"/>
              </w:rPr>
              <w:t>Sidebar, glass top bar, theme switch, user menu.</w:t>
            </w:r>
          </w:p>
        </w:tc>
      </w:tr>
      <w:tr>
        <w:tc>
          <w:tcPr>
            <w:tcW w:type="dxa" w:w="2880"/>
          </w:tcPr>
          <w:p>
            <w:r>
              <w:rPr>
                <w:sz w:val="18"/>
              </w:rPr>
            </w:r>
            <w:r>
              <w:rPr>
                <w:rFonts w:ascii="Consolas" w:hAnsi="Consolas"/>
                <w:color w:val="6F5900"/>
                <w:sz w:val="18"/>
              </w:rPr>
              <w:t>src/components/CommandPalette.tsx</w:t>
            </w:r>
          </w:p>
        </w:tc>
        <w:tc>
          <w:tcPr>
            <w:tcW w:type="dxa" w:w="6336"/>
          </w:tcPr>
          <w:p>
            <w:r>
              <w:rPr>
                <w:sz w:val="18"/>
              </w:rPr>
            </w:r>
            <w:r>
              <w:rPr>
                <w:sz w:val="18"/>
              </w:rPr>
              <w:t>Ctrl+K navigation and actions.</w:t>
            </w:r>
          </w:p>
        </w:tc>
      </w:tr>
      <w:tr>
        <w:tc>
          <w:tcPr>
            <w:tcW w:type="dxa" w:w="2880"/>
          </w:tcPr>
          <w:p>
            <w:r>
              <w:rPr>
                <w:sz w:val="18"/>
              </w:rPr>
            </w:r>
            <w:r>
              <w:rPr>
                <w:rFonts w:ascii="Consolas" w:hAnsi="Consolas"/>
                <w:color w:val="6F5900"/>
                <w:sz w:val="18"/>
              </w:rPr>
              <w:t>src/pages/</w:t>
            </w:r>
          </w:p>
        </w:tc>
        <w:tc>
          <w:tcPr>
            <w:tcW w:type="dxa" w:w="6336"/>
          </w:tcPr>
          <w:p>
            <w:r>
              <w:rPr>
                <w:sz w:val="18"/>
              </w:rPr>
            </w:r>
            <w:r>
              <w:rPr>
                <w:sz w:val="18"/>
              </w:rPr>
              <w:t xml:space="preserve">One file per screen; </w:t>
            </w:r>
            <w:r>
              <w:rPr>
                <w:rFonts w:ascii="Consolas" w:hAnsi="Consolas"/>
                <w:color w:val="6F5900"/>
                <w:sz w:val="18"/>
              </w:rPr>
              <w:t>FormEditorPage.tsx</w:t>
            </w:r>
            <w:r>
              <w:rPr>
                <w:sz w:val="18"/>
              </w:rPr>
              <w:t xml:space="preserve"> is the largest and holds the builder.</w:t>
            </w:r>
          </w:p>
        </w:tc>
      </w:tr>
    </w:tbl>
    <w:p/>
    <w:p>
      <w:pPr>
        <w:pStyle w:val="Heading2"/>
      </w:pPr>
      <w:r>
        <w:t>2.4 The public form SPA</w:t>
      </w:r>
    </w:p>
    <w:tbl>
      <w:tblPr>
        <w:tblStyle w:val="LightGrid-Accent1"/>
        <w:tblW w:type="auto" w:w="0"/>
        <w:tblLook w:firstColumn="1" w:firstRow="1" w:lastColumn="0" w:lastRow="0" w:noHBand="0" w:noVBand="1" w:val="04A0"/>
      </w:tblPr>
      <w:tblGrid>
        <w:gridCol w:w="4824"/>
        <w:gridCol w:w="4824"/>
      </w:tblGrid>
      <w:tr>
        <w:tc>
          <w:tcPr>
            <w:tcW w:type="dxa" w:w="2880"/>
          </w:tcPr>
          <w:p>
            <w:r/>
            <w:r>
              <w:rPr>
                <w:b/>
                <w:sz w:val="18"/>
              </w:rPr>
              <w:t>Path</w:t>
            </w:r>
          </w:p>
        </w:tc>
        <w:tc>
          <w:tcPr>
            <w:tcW w:type="dxa" w:w="6336"/>
          </w:tcPr>
          <w:p>
            <w:r/>
            <w:r>
              <w:rPr>
                <w:b/>
                <w:sz w:val="18"/>
              </w:rPr>
              <w:t>Responsibility</w:t>
            </w:r>
          </w:p>
        </w:tc>
      </w:tr>
      <w:tr>
        <w:tc>
          <w:tcPr>
            <w:tcW w:type="dxa" w:w="2880"/>
          </w:tcPr>
          <w:p>
            <w:r>
              <w:rPr>
                <w:sz w:val="18"/>
              </w:rPr>
            </w:r>
            <w:r>
              <w:rPr>
                <w:rFonts w:ascii="Consolas" w:hAnsi="Consolas"/>
                <w:color w:val="6F5900"/>
                <w:sz w:val="18"/>
              </w:rPr>
              <w:t>src/components/FieldRenderer.tsx</w:t>
            </w:r>
          </w:p>
        </w:tc>
        <w:tc>
          <w:tcPr>
            <w:tcW w:type="dxa" w:w="6336"/>
          </w:tcPr>
          <w:p>
            <w:r>
              <w:rPr>
                <w:sz w:val="18"/>
              </w:rPr>
            </w:r>
            <w:r>
              <w:rPr>
                <w:sz w:val="18"/>
              </w:rPr>
              <w:t>Renders the form.io tree using the source platform's own class names, which is what makes the vendored CSS apply exactly.</w:t>
            </w:r>
          </w:p>
        </w:tc>
      </w:tr>
      <w:tr>
        <w:tc>
          <w:tcPr>
            <w:tcW w:type="dxa" w:w="2880"/>
          </w:tcPr>
          <w:p>
            <w:r>
              <w:rPr>
                <w:sz w:val="18"/>
              </w:rPr>
            </w:r>
            <w:r>
              <w:rPr>
                <w:rFonts w:ascii="Consolas" w:hAnsi="Consolas"/>
                <w:color w:val="6F5900"/>
                <w:sz w:val="18"/>
              </w:rPr>
              <w:t>src/components/Choices.tsx</w:t>
            </w:r>
          </w:p>
        </w:tc>
        <w:tc>
          <w:tcPr>
            <w:tcW w:type="dxa" w:w="6336"/>
          </w:tcPr>
          <w:p>
            <w:r>
              <w:rPr>
                <w:sz w:val="18"/>
              </w:rPr>
            </w:r>
            <w:r>
              <w:rPr>
                <w:sz w:val="18"/>
              </w:rPr>
              <w:t>Reimplements the choices.js dropdown DOM the original used.</w:t>
            </w:r>
          </w:p>
        </w:tc>
      </w:tr>
      <w:tr>
        <w:tc>
          <w:tcPr>
            <w:tcW w:type="dxa" w:w="2880"/>
          </w:tcPr>
          <w:p>
            <w:r>
              <w:rPr>
                <w:sz w:val="18"/>
              </w:rPr>
            </w:r>
            <w:r>
              <w:rPr>
                <w:rFonts w:ascii="Consolas" w:hAnsi="Consolas"/>
                <w:color w:val="6F5900"/>
                <w:sz w:val="18"/>
              </w:rPr>
              <w:t>src/lib/conditional.ts</w:t>
            </w:r>
          </w:p>
        </w:tc>
        <w:tc>
          <w:tcPr>
            <w:tcW w:type="dxa" w:w="6336"/>
          </w:tcPr>
          <w:p>
            <w:r>
              <w:rPr>
                <w:sz w:val="18"/>
              </w:rPr>
            </w:r>
            <w:r>
              <w:rPr>
                <w:sz w:val="18"/>
              </w:rPr>
              <w:t>Show and hide evaluation, mirrored on the server.</w:t>
            </w:r>
          </w:p>
        </w:tc>
      </w:tr>
      <w:tr>
        <w:tc>
          <w:tcPr>
            <w:tcW w:type="dxa" w:w="2880"/>
          </w:tcPr>
          <w:p>
            <w:r>
              <w:rPr>
                <w:sz w:val="18"/>
              </w:rPr>
            </w:r>
            <w:r>
              <w:rPr>
                <w:rFonts w:ascii="Consolas" w:hAnsi="Consolas"/>
                <w:color w:val="6F5900"/>
                <w:sz w:val="18"/>
              </w:rPr>
              <w:t>src/lib/validation.ts</w:t>
            </w:r>
          </w:p>
        </w:tc>
        <w:tc>
          <w:tcPr>
            <w:tcW w:type="dxa" w:w="6336"/>
          </w:tcPr>
          <w:p>
            <w:r>
              <w:rPr>
                <w:sz w:val="18"/>
              </w:rPr>
            </w:r>
            <w:r>
              <w:rPr>
                <w:sz w:val="18"/>
              </w:rPr>
              <w:t>Client-side validation, mirrored on the server.</w:t>
            </w:r>
          </w:p>
        </w:tc>
      </w:tr>
      <w:tr>
        <w:tc>
          <w:tcPr>
            <w:tcW w:type="dxa" w:w="2880"/>
          </w:tcPr>
          <w:p>
            <w:r>
              <w:rPr>
                <w:sz w:val="18"/>
              </w:rPr>
            </w:r>
            <w:r>
              <w:rPr>
                <w:rFonts w:ascii="Consolas" w:hAnsi="Consolas"/>
                <w:color w:val="6F5900"/>
                <w:sz w:val="18"/>
              </w:rPr>
              <w:t>public/assets/css/</w:t>
            </w:r>
          </w:p>
        </w:tc>
        <w:tc>
          <w:tcPr>
            <w:tcW w:type="dxa" w:w="6336"/>
          </w:tcPr>
          <w:p>
            <w:r>
              <w:rPr>
                <w:sz w:val="18"/>
              </w:rPr>
            </w:r>
            <w:r>
              <w:rPr>
                <w:sz w:val="18"/>
              </w:rPr>
              <w:t>The vendored stylesheets, in load order.</w:t>
            </w:r>
          </w:p>
        </w:tc>
      </w:tr>
      <w:tr>
        <w:tc>
          <w:tcPr>
            <w:tcW w:type="dxa" w:w="2880"/>
          </w:tcPr>
          <w:p>
            <w:r>
              <w:rPr>
                <w:sz w:val="18"/>
              </w:rPr>
            </w:r>
            <w:r>
              <w:rPr>
                <w:rFonts w:ascii="Consolas" w:hAnsi="Consolas"/>
                <w:color w:val="6F5900"/>
                <w:sz w:val="18"/>
              </w:rPr>
              <w:t>public/assets/fonts/</w:t>
            </w:r>
          </w:p>
        </w:tc>
        <w:tc>
          <w:tcPr>
            <w:tcW w:type="dxa" w:w="6336"/>
          </w:tcPr>
          <w:p>
            <w:r>
              <w:rPr>
                <w:sz w:val="18"/>
              </w:rPr>
            </w:r>
            <w:r>
              <w:rPr>
                <w:sz w:val="18"/>
              </w:rPr>
              <w:t>The 90 font files those stylesheets reference.</w:t>
            </w:r>
          </w:p>
        </w:tc>
      </w:tr>
    </w:tbl>
    <w:p/>
    <w:p>
      <w:r>
        <w:br w:type="page"/>
      </w:r>
    </w:p>
    <w:p>
      <w:pPr>
        <w:pStyle w:val="Heading1"/>
      </w:pPr>
      <w:r>
        <w:t>3. Data model</w:t>
      </w:r>
    </w:p>
    <w:p>
      <w:r>
        <w:rPr>
          <w:b w:val="0"/>
        </w:rPr>
        <w:t>Defined in `server/src/db/schema.ts` and migrated by the SQL files in `server/drizzle/`.</w:t>
      </w:r>
    </w:p>
    <w:p>
      <w:pPr>
        <w:pStyle w:val="Heading2"/>
      </w:pPr>
      <w:r>
        <w:t>3.1 Tables</w:t>
      </w:r>
    </w:p>
    <w:tbl>
      <w:tblPr>
        <w:tblStyle w:val="LightGrid-Accent1"/>
        <w:tblW w:type="auto" w:w="0"/>
        <w:tblLook w:firstColumn="1" w:firstRow="1" w:lastColumn="0" w:lastRow="0" w:noHBand="0" w:noVBand="1" w:val="04A0"/>
      </w:tblPr>
      <w:tblGrid>
        <w:gridCol w:w="3216"/>
        <w:gridCol w:w="3216"/>
        <w:gridCol w:w="3216"/>
      </w:tblGrid>
      <w:tr>
        <w:tc>
          <w:tcPr>
            <w:tcW w:type="dxa" w:w="2736"/>
          </w:tcPr>
          <w:p>
            <w:r/>
            <w:r>
              <w:rPr>
                <w:b/>
                <w:sz w:val="18"/>
              </w:rPr>
              <w:t>Table</w:t>
            </w:r>
          </w:p>
        </w:tc>
        <w:tc>
          <w:tcPr>
            <w:tcW w:type="dxa" w:w="3024"/>
          </w:tcPr>
          <w:p>
            <w:r/>
            <w:r>
              <w:rPr>
                <w:b/>
                <w:sz w:val="18"/>
              </w:rPr>
              <w:t>Purpose</w:t>
            </w:r>
          </w:p>
        </w:tc>
        <w:tc>
          <w:tcPr>
            <w:tcW w:type="dxa" w:w="3456"/>
          </w:tcPr>
          <w:p>
            <w:r/>
            <w:r>
              <w:rPr>
                <w:b/>
                <w:sz w:val="18"/>
              </w:rPr>
              <w:t>Notes</w:t>
            </w:r>
          </w:p>
        </w:tc>
      </w:tr>
      <w:tr>
        <w:tc>
          <w:tcPr>
            <w:tcW w:type="dxa" w:w="2736"/>
          </w:tcPr>
          <w:p>
            <w:r>
              <w:rPr>
                <w:sz w:val="18"/>
              </w:rPr>
            </w:r>
            <w:r>
              <w:rPr>
                <w:rFonts w:ascii="Consolas" w:hAnsi="Consolas"/>
                <w:color w:val="6F5900"/>
                <w:sz w:val="18"/>
              </w:rPr>
              <w:t>zones</w:t>
            </w:r>
          </w:p>
        </w:tc>
        <w:tc>
          <w:tcPr>
            <w:tcW w:type="dxa" w:w="3024"/>
          </w:tcPr>
          <w:p>
            <w:r>
              <w:rPr>
                <w:sz w:val="18"/>
              </w:rPr>
            </w:r>
            <w:r>
              <w:rPr>
                <w:sz w:val="18"/>
              </w:rPr>
              <w:t>EUR, SAZ, MAZ</w:t>
            </w:r>
          </w:p>
        </w:tc>
        <w:tc>
          <w:tcPr>
            <w:tcW w:type="dxa" w:w="3456"/>
          </w:tcPr>
          <w:p>
            <w:r>
              <w:rPr>
                <w:sz w:val="18"/>
              </w:rPr>
            </w:r>
            <w:r>
              <w:rPr>
                <w:sz w:val="18"/>
              </w:rPr>
              <w:t>Reference data</w:t>
            </w:r>
          </w:p>
        </w:tc>
      </w:tr>
      <w:tr>
        <w:tc>
          <w:tcPr>
            <w:tcW w:type="dxa" w:w="2736"/>
          </w:tcPr>
          <w:p>
            <w:r>
              <w:rPr>
                <w:sz w:val="18"/>
              </w:rPr>
            </w:r>
            <w:r>
              <w:rPr>
                <w:rFonts w:ascii="Consolas" w:hAnsi="Consolas"/>
                <w:color w:val="6F5900"/>
                <w:sz w:val="18"/>
              </w:rPr>
              <w:t>users</w:t>
            </w:r>
          </w:p>
        </w:tc>
        <w:tc>
          <w:tcPr>
            <w:tcW w:type="dxa" w:w="3024"/>
          </w:tcPr>
          <w:p>
            <w:r>
              <w:rPr>
                <w:sz w:val="18"/>
              </w:rPr>
            </w:r>
            <w:r>
              <w:rPr>
                <w:sz w:val="18"/>
              </w:rPr>
              <w:t>Internal users</w:t>
            </w:r>
          </w:p>
        </w:tc>
        <w:tc>
          <w:tcPr>
            <w:tcW w:type="dxa" w:w="3456"/>
          </w:tcPr>
          <w:p>
            <w:r>
              <w:rPr>
                <w:sz w:val="18"/>
              </w:rPr>
            </w:r>
            <w:r>
              <w:rPr>
                <w:sz w:val="18"/>
              </w:rPr>
              <w:t>Role, zone, capacity, out-of-office, argon2id hash</w:t>
            </w:r>
          </w:p>
        </w:tc>
      </w:tr>
      <w:tr>
        <w:tc>
          <w:tcPr>
            <w:tcW w:type="dxa" w:w="2736"/>
          </w:tcPr>
          <w:p>
            <w:r>
              <w:rPr>
                <w:sz w:val="18"/>
              </w:rPr>
            </w:r>
            <w:r>
              <w:rPr>
                <w:rFonts w:ascii="Consolas" w:hAnsi="Consolas"/>
                <w:color w:val="6F5900"/>
                <w:sz w:val="18"/>
              </w:rPr>
              <w:t>internal_sessions</w:t>
            </w:r>
          </w:p>
        </w:tc>
        <w:tc>
          <w:tcPr>
            <w:tcW w:type="dxa" w:w="3024"/>
          </w:tcPr>
          <w:p>
            <w:r>
              <w:rPr>
                <w:sz w:val="18"/>
              </w:rPr>
            </w:r>
            <w:r>
              <w:rPr>
                <w:sz w:val="18"/>
              </w:rPr>
              <w:t>Signed-in sessions</w:t>
            </w:r>
          </w:p>
        </w:tc>
        <w:tc>
          <w:tcPr>
            <w:tcW w:type="dxa" w:w="3456"/>
          </w:tcPr>
          <w:p>
            <w:r>
              <w:rPr>
                <w:sz w:val="18"/>
              </w:rPr>
            </w:r>
            <w:r>
              <w:rPr>
                <w:sz w:val="18"/>
              </w:rPr>
              <w:t>Idle and absolute expiry, revocation</w:t>
            </w:r>
          </w:p>
        </w:tc>
      </w:tr>
      <w:tr>
        <w:tc>
          <w:tcPr>
            <w:tcW w:type="dxa" w:w="2736"/>
          </w:tcPr>
          <w:p>
            <w:r>
              <w:rPr>
                <w:sz w:val="18"/>
              </w:rPr>
            </w:r>
            <w:r>
              <w:rPr>
                <w:rFonts w:ascii="Consolas" w:hAnsi="Consolas"/>
                <w:color w:val="6F5900"/>
                <w:sz w:val="18"/>
              </w:rPr>
              <w:t>form_versions</w:t>
            </w:r>
          </w:p>
        </w:tc>
        <w:tc>
          <w:tcPr>
            <w:tcW w:type="dxa" w:w="3024"/>
          </w:tcPr>
          <w:p>
            <w:r>
              <w:rPr>
                <w:sz w:val="18"/>
              </w:rPr>
            </w:r>
            <w:r>
              <w:rPr>
                <w:sz w:val="18"/>
              </w:rPr>
              <w:t>Every published form schema</w:t>
            </w:r>
          </w:p>
        </w:tc>
        <w:tc>
          <w:tcPr>
            <w:tcW w:type="dxa" w:w="3456"/>
          </w:tcPr>
          <w:p>
            <w:r>
              <w:rPr>
                <w:sz w:val="18"/>
              </w:rPr>
            </w:r>
            <w:r>
              <w:rPr>
                <w:sz w:val="18"/>
              </w:rPr>
              <w:t>Append-only; unique on (form_key, version)</w:t>
            </w:r>
          </w:p>
        </w:tc>
      </w:tr>
      <w:tr>
        <w:tc>
          <w:tcPr>
            <w:tcW w:type="dxa" w:w="2736"/>
          </w:tcPr>
          <w:p>
            <w:r>
              <w:rPr>
                <w:sz w:val="18"/>
              </w:rPr>
            </w:r>
            <w:r>
              <w:rPr>
                <w:rFonts w:ascii="Consolas" w:hAnsi="Consolas"/>
                <w:color w:val="6F5900"/>
                <w:sz w:val="18"/>
              </w:rPr>
              <w:t>statuses</w:t>
            </w:r>
            <w:r>
              <w:rPr>
                <w:sz w:val="18"/>
              </w:rPr>
              <w:t xml:space="preserve">, </w:t>
            </w:r>
            <w:r>
              <w:rPr>
                <w:rFonts w:ascii="Consolas" w:hAnsi="Consolas"/>
                <w:color w:val="6F5900"/>
                <w:sz w:val="18"/>
              </w:rPr>
              <w:t>status_transitions</w:t>
            </w:r>
          </w:p>
        </w:tc>
        <w:tc>
          <w:tcPr>
            <w:tcW w:type="dxa" w:w="3024"/>
          </w:tcPr>
          <w:p>
            <w:r>
              <w:rPr>
                <w:sz w:val="18"/>
              </w:rPr>
            </w:r>
            <w:r>
              <w:rPr>
                <w:sz w:val="18"/>
              </w:rPr>
              <w:t>The workflow</w:t>
            </w:r>
          </w:p>
        </w:tc>
        <w:tc>
          <w:tcPr>
            <w:tcW w:type="dxa" w:w="3456"/>
          </w:tcPr>
          <w:p>
            <w:r>
              <w:rPr>
                <w:sz w:val="18"/>
              </w:rPr>
            </w:r>
            <w:r>
              <w:rPr>
                <w:sz w:val="18"/>
              </w:rPr>
              <w:t>Configurable; illegal moves rejected server-side</w:t>
            </w:r>
          </w:p>
        </w:tc>
      </w:tr>
      <w:tr>
        <w:tc>
          <w:tcPr>
            <w:tcW w:type="dxa" w:w="2736"/>
          </w:tcPr>
          <w:p>
            <w:r>
              <w:rPr>
                <w:sz w:val="18"/>
              </w:rPr>
            </w:r>
            <w:r>
              <w:rPr>
                <w:rFonts w:ascii="Consolas" w:hAnsi="Consolas"/>
                <w:color w:val="6F5900"/>
                <w:sz w:val="18"/>
              </w:rPr>
              <w:t>sla_policies</w:t>
            </w:r>
          </w:p>
        </w:tc>
        <w:tc>
          <w:tcPr>
            <w:tcW w:type="dxa" w:w="3024"/>
          </w:tcPr>
          <w:p>
            <w:r>
              <w:rPr>
                <w:sz w:val="18"/>
              </w:rPr>
            </w:r>
            <w:r>
              <w:rPr>
                <w:sz w:val="18"/>
              </w:rPr>
              <w:t>Deadlines per zone and type</w:t>
            </w:r>
          </w:p>
        </w:tc>
        <w:tc>
          <w:tcPr>
            <w:tcW w:type="dxa" w:w="3456"/>
          </w:tcPr>
          <w:p>
            <w:r>
              <w:rPr>
                <w:sz w:val="18"/>
              </w:rPr>
            </w:r>
            <w:r>
              <w:rPr>
                <w:sz w:val="18"/>
              </w:rPr>
              <w:t>Target days, calendar, holidays, pause, reminders</w:t>
            </w:r>
          </w:p>
        </w:tc>
      </w:tr>
      <w:tr>
        <w:tc>
          <w:tcPr>
            <w:tcW w:type="dxa" w:w="2736"/>
          </w:tcPr>
          <w:p>
            <w:r>
              <w:rPr>
                <w:sz w:val="18"/>
              </w:rPr>
            </w:r>
            <w:r>
              <w:rPr>
                <w:rFonts w:ascii="Consolas" w:hAnsi="Consolas"/>
                <w:color w:val="6F5900"/>
                <w:sz w:val="18"/>
              </w:rPr>
              <w:t>assignment_config</w:t>
            </w:r>
          </w:p>
        </w:tc>
        <w:tc>
          <w:tcPr>
            <w:tcW w:type="dxa" w:w="3024"/>
          </w:tcPr>
          <w:p>
            <w:r>
              <w:rPr>
                <w:sz w:val="18"/>
              </w:rPr>
            </w:r>
            <w:r>
              <w:rPr>
                <w:sz w:val="18"/>
              </w:rPr>
              <w:t>Routing per zone</w:t>
            </w:r>
          </w:p>
        </w:tc>
        <w:tc>
          <w:tcPr>
            <w:tcW w:type="dxa" w:w="3456"/>
          </w:tcPr>
          <w:p>
            <w:r>
              <w:rPr>
                <w:sz w:val="18"/>
              </w:rPr>
            </w:r>
            <w:r>
              <w:rPr>
                <w:sz w:val="18"/>
              </w:rPr>
              <w:t>Strategy, escalation contact, round-robin cursor</w:t>
            </w:r>
          </w:p>
        </w:tc>
      </w:tr>
      <w:tr>
        <w:tc>
          <w:tcPr>
            <w:tcW w:type="dxa" w:w="2736"/>
          </w:tcPr>
          <w:p>
            <w:r>
              <w:rPr>
                <w:sz w:val="18"/>
              </w:rPr>
            </w:r>
            <w:r>
              <w:rPr>
                <w:rFonts w:ascii="Consolas" w:hAnsi="Consolas"/>
                <w:color w:val="6F5900"/>
                <w:sz w:val="18"/>
              </w:rPr>
              <w:t>form_drafts</w:t>
            </w:r>
          </w:p>
        </w:tc>
        <w:tc>
          <w:tcPr>
            <w:tcW w:type="dxa" w:w="3024"/>
          </w:tcPr>
          <w:p>
            <w:r>
              <w:rPr>
                <w:sz w:val="18"/>
              </w:rPr>
            </w:r>
            <w:r>
              <w:rPr>
                <w:sz w:val="18"/>
              </w:rPr>
              <w:t>Pre-submission sessions</w:t>
            </w:r>
          </w:p>
        </w:tc>
        <w:tc>
          <w:tcPr>
            <w:tcW w:type="dxa" w:w="3456"/>
          </w:tcPr>
          <w:p>
            <w:r>
              <w:rPr>
                <w:sz w:val="18"/>
              </w:rPr>
            </w:r>
            <w:r>
              <w:rPr>
                <w:sz w:val="18"/>
              </w:rPr>
              <w:t>Holds the verified email; never a case</w:t>
            </w:r>
          </w:p>
        </w:tc>
      </w:tr>
      <w:tr>
        <w:tc>
          <w:tcPr>
            <w:tcW w:type="dxa" w:w="2736"/>
          </w:tcPr>
          <w:p>
            <w:r>
              <w:rPr>
                <w:sz w:val="18"/>
              </w:rPr>
            </w:r>
            <w:r>
              <w:rPr>
                <w:rFonts w:ascii="Consolas" w:hAnsi="Consolas"/>
                <w:color w:val="6F5900"/>
                <w:sz w:val="18"/>
              </w:rPr>
              <w:t>verification_tokens</w:t>
            </w:r>
          </w:p>
        </w:tc>
        <w:tc>
          <w:tcPr>
            <w:tcW w:type="dxa" w:w="3024"/>
          </w:tcPr>
          <w:p>
            <w:r>
              <w:rPr>
                <w:sz w:val="18"/>
              </w:rPr>
            </w:r>
            <w:r>
              <w:rPr>
                <w:sz w:val="18"/>
              </w:rPr>
              <w:t>Magic links</w:t>
            </w:r>
          </w:p>
        </w:tc>
        <w:tc>
          <w:tcPr>
            <w:tcW w:type="dxa" w:w="3456"/>
          </w:tcPr>
          <w:p>
            <w:r>
              <w:rPr>
                <w:sz w:val="18"/>
              </w:rPr>
            </w:r>
            <w:r>
              <w:rPr>
                <w:sz w:val="18"/>
              </w:rPr>
              <w:t>SHA-256 hashed, single use, 15-minute TTL</w:t>
            </w:r>
          </w:p>
        </w:tc>
      </w:tr>
      <w:tr>
        <w:tc>
          <w:tcPr>
            <w:tcW w:type="dxa" w:w="2736"/>
          </w:tcPr>
          <w:p>
            <w:r>
              <w:rPr>
                <w:sz w:val="18"/>
              </w:rPr>
            </w:r>
            <w:r>
              <w:rPr>
                <w:rFonts w:ascii="Consolas" w:hAnsi="Consolas"/>
                <w:color w:val="6F5900"/>
                <w:sz w:val="18"/>
              </w:rPr>
              <w:t>rate_counters</w:t>
            </w:r>
          </w:p>
        </w:tc>
        <w:tc>
          <w:tcPr>
            <w:tcW w:type="dxa" w:w="3024"/>
          </w:tcPr>
          <w:p>
            <w:r>
              <w:rPr>
                <w:sz w:val="18"/>
              </w:rPr>
            </w:r>
            <w:r>
              <w:rPr>
                <w:sz w:val="18"/>
              </w:rPr>
              <w:t>Fixed-window counters</w:t>
            </w:r>
          </w:p>
        </w:tc>
        <w:tc>
          <w:tcPr>
            <w:tcW w:type="dxa" w:w="3456"/>
          </w:tcPr>
          <w:p>
            <w:r>
              <w:rPr>
                <w:sz w:val="18"/>
              </w:rPr>
            </w:r>
            <w:r>
              <w:rPr>
                <w:sz w:val="18"/>
              </w:rPr>
              <w:t>Verification sends and failed sign-ins</w:t>
            </w:r>
          </w:p>
        </w:tc>
      </w:tr>
      <w:tr>
        <w:tc>
          <w:tcPr>
            <w:tcW w:type="dxa" w:w="2736"/>
          </w:tcPr>
          <w:p>
            <w:r>
              <w:rPr>
                <w:sz w:val="18"/>
              </w:rPr>
            </w:r>
            <w:r>
              <w:rPr>
                <w:rFonts w:ascii="Consolas" w:hAnsi="Consolas"/>
                <w:color w:val="6F5900"/>
                <w:sz w:val="18"/>
              </w:rPr>
              <w:t>cases</w:t>
            </w:r>
          </w:p>
        </w:tc>
        <w:tc>
          <w:tcPr>
            <w:tcW w:type="dxa" w:w="3024"/>
          </w:tcPr>
          <w:p>
            <w:r>
              <w:rPr>
                <w:sz w:val="18"/>
              </w:rPr>
            </w:r>
            <w:r>
              <w:rPr>
                <w:sz w:val="18"/>
              </w:rPr>
              <w:t>The request itself</w:t>
            </w:r>
          </w:p>
        </w:tc>
        <w:tc>
          <w:tcPr>
            <w:tcW w:type="dxa" w:w="3456"/>
          </w:tcPr>
          <w:p>
            <w:r>
              <w:rPr>
                <w:sz w:val="18"/>
              </w:rPr>
            </w:r>
            <w:r>
              <w:rPr>
                <w:sz w:val="18"/>
              </w:rPr>
              <w:t>Encrypted identifiers, HMAC lookup column, status, due date</w:t>
            </w:r>
          </w:p>
        </w:tc>
      </w:tr>
      <w:tr>
        <w:tc>
          <w:tcPr>
            <w:tcW w:type="dxa" w:w="2736"/>
          </w:tcPr>
          <w:p>
            <w:r>
              <w:rPr>
                <w:sz w:val="18"/>
              </w:rPr>
            </w:r>
            <w:r>
              <w:rPr>
                <w:rFonts w:ascii="Consolas" w:hAnsi="Consolas"/>
                <w:color w:val="6F5900"/>
                <w:sz w:val="18"/>
              </w:rPr>
              <w:t>case_fields</w:t>
            </w:r>
          </w:p>
        </w:tc>
        <w:tc>
          <w:tcPr>
            <w:tcW w:type="dxa" w:w="3024"/>
          </w:tcPr>
          <w:p>
            <w:r>
              <w:rPr>
                <w:sz w:val="18"/>
              </w:rPr>
            </w:r>
            <w:r>
              <w:rPr>
                <w:sz w:val="18"/>
              </w:rPr>
              <w:t>Submitted answers</w:t>
            </w:r>
          </w:p>
        </w:tc>
        <w:tc>
          <w:tcPr>
            <w:tcW w:type="dxa" w:w="3456"/>
          </w:tcPr>
          <w:p>
            <w:r>
              <w:rPr>
                <w:sz w:val="18"/>
              </w:rPr>
            </w:r>
            <w:r>
              <w:rPr>
                <w:sz w:val="18"/>
              </w:rPr>
              <w:t>Encrypted where the field is an identifier</w:t>
            </w:r>
          </w:p>
        </w:tc>
      </w:tr>
      <w:tr>
        <w:tc>
          <w:tcPr>
            <w:tcW w:type="dxa" w:w="2736"/>
          </w:tcPr>
          <w:p>
            <w:r>
              <w:rPr>
                <w:sz w:val="18"/>
              </w:rPr>
            </w:r>
            <w:r>
              <w:rPr>
                <w:rFonts w:ascii="Consolas" w:hAnsi="Consolas"/>
                <w:color w:val="6F5900"/>
                <w:sz w:val="18"/>
              </w:rPr>
              <w:t>case_status_history</w:t>
            </w:r>
          </w:p>
        </w:tc>
        <w:tc>
          <w:tcPr>
            <w:tcW w:type="dxa" w:w="3024"/>
          </w:tcPr>
          <w:p>
            <w:r>
              <w:rPr>
                <w:sz w:val="18"/>
              </w:rPr>
            </w:r>
            <w:r>
              <w:rPr>
                <w:sz w:val="18"/>
              </w:rPr>
              <w:t>Every transition</w:t>
            </w:r>
          </w:p>
        </w:tc>
        <w:tc>
          <w:tcPr>
            <w:tcW w:type="dxa" w:w="3456"/>
          </w:tcPr>
          <w:p>
            <w:r>
              <w:rPr>
                <w:sz w:val="18"/>
              </w:rPr>
            </w:r>
            <w:r>
              <w:rPr>
                <w:sz w:val="18"/>
              </w:rPr>
              <w:t>Actor, from, to, note</w:t>
            </w:r>
          </w:p>
        </w:tc>
      </w:tr>
      <w:tr>
        <w:tc>
          <w:tcPr>
            <w:tcW w:type="dxa" w:w="2736"/>
          </w:tcPr>
          <w:p>
            <w:r>
              <w:rPr>
                <w:sz w:val="18"/>
              </w:rPr>
            </w:r>
            <w:r>
              <w:rPr>
                <w:rFonts w:ascii="Consolas" w:hAnsi="Consolas"/>
                <w:color w:val="6F5900"/>
                <w:sz w:val="18"/>
              </w:rPr>
              <w:t>case_comments</w:t>
            </w:r>
            <w:r>
              <w:rPr>
                <w:sz w:val="18"/>
              </w:rPr>
              <w:t xml:space="preserve">, </w:t>
            </w:r>
            <w:r>
              <w:rPr>
                <w:rFonts w:ascii="Consolas" w:hAnsi="Consolas"/>
                <w:color w:val="6F5900"/>
                <w:sz w:val="18"/>
              </w:rPr>
              <w:t>case_attachments</w:t>
            </w:r>
          </w:p>
        </w:tc>
        <w:tc>
          <w:tcPr>
            <w:tcW w:type="dxa" w:w="3024"/>
          </w:tcPr>
          <w:p>
            <w:r>
              <w:rPr>
                <w:sz w:val="18"/>
              </w:rPr>
            </w:r>
            <w:r>
              <w:rPr>
                <w:sz w:val="18"/>
              </w:rPr>
              <w:t>Case collateral</w:t>
            </w:r>
          </w:p>
        </w:tc>
        <w:tc>
          <w:tcPr>
            <w:tcW w:type="dxa" w:w="3456"/>
          </w:tcPr>
          <w:p>
            <w:r>
              <w:rPr>
                <w:sz w:val="18"/>
              </w:rPr>
            </w:r>
            <w:r>
              <w:rPr>
                <w:sz w:val="18"/>
              </w:rPr>
              <w:t>Attachment rows carry scan status and an opaque storage key</w:t>
            </w:r>
          </w:p>
        </w:tc>
      </w:tr>
      <w:tr>
        <w:tc>
          <w:tcPr>
            <w:tcW w:type="dxa" w:w="2736"/>
          </w:tcPr>
          <w:p>
            <w:r>
              <w:rPr>
                <w:sz w:val="18"/>
              </w:rPr>
            </w:r>
            <w:r>
              <w:rPr>
                <w:rFonts w:ascii="Consolas" w:hAnsi="Consolas"/>
                <w:color w:val="6F5900"/>
                <w:sz w:val="18"/>
              </w:rPr>
              <w:t>sla_clocks</w:t>
            </w:r>
          </w:p>
        </w:tc>
        <w:tc>
          <w:tcPr>
            <w:tcW w:type="dxa" w:w="3024"/>
          </w:tcPr>
          <w:p>
            <w:r>
              <w:rPr>
                <w:sz w:val="18"/>
              </w:rPr>
            </w:r>
            <w:r>
              <w:rPr>
                <w:sz w:val="18"/>
              </w:rPr>
              <w:t>One clock per case</w:t>
            </w:r>
          </w:p>
        </w:tc>
        <w:tc>
          <w:tcPr>
            <w:tcW w:type="dxa" w:w="3456"/>
          </w:tcPr>
          <w:p>
            <w:r>
              <w:rPr>
                <w:sz w:val="18"/>
              </w:rPr>
            </w:r>
            <w:r>
              <w:rPr>
                <w:sz w:val="18"/>
              </w:rPr>
              <w:t>State, due date, paused total, fired reminders</w:t>
            </w:r>
          </w:p>
        </w:tc>
      </w:tr>
      <w:tr>
        <w:tc>
          <w:tcPr>
            <w:tcW w:type="dxa" w:w="2736"/>
          </w:tcPr>
          <w:p>
            <w:r>
              <w:rPr>
                <w:sz w:val="18"/>
              </w:rPr>
            </w:r>
            <w:r>
              <w:rPr>
                <w:rFonts w:ascii="Consolas" w:hAnsi="Consolas"/>
                <w:color w:val="6F5900"/>
                <w:sz w:val="18"/>
              </w:rPr>
              <w:t>templates</w:t>
            </w:r>
          </w:p>
        </w:tc>
        <w:tc>
          <w:tcPr>
            <w:tcW w:type="dxa" w:w="3024"/>
          </w:tcPr>
          <w:p>
            <w:r>
              <w:rPr>
                <w:sz w:val="18"/>
              </w:rPr>
            </w:r>
            <w:r>
              <w:rPr>
                <w:sz w:val="18"/>
              </w:rPr>
              <w:t>Response library</w:t>
            </w:r>
          </w:p>
        </w:tc>
        <w:tc>
          <w:tcPr>
            <w:tcW w:type="dxa" w:w="3456"/>
          </w:tcPr>
          <w:p>
            <w:r>
              <w:rPr>
                <w:sz w:val="18"/>
              </w:rPr>
            </w:r>
            <w:r>
              <w:rPr>
                <w:sz w:val="18"/>
              </w:rPr>
              <w:t>Versioned; zone and request type optional</w:t>
            </w:r>
          </w:p>
        </w:tc>
      </w:tr>
      <w:tr>
        <w:tc>
          <w:tcPr>
            <w:tcW w:type="dxa" w:w="2736"/>
          </w:tcPr>
          <w:p>
            <w:r>
              <w:rPr>
                <w:sz w:val="18"/>
              </w:rPr>
            </w:r>
            <w:r>
              <w:rPr>
                <w:rFonts w:ascii="Consolas" w:hAnsi="Consolas"/>
                <w:color w:val="6F5900"/>
                <w:sz w:val="18"/>
              </w:rPr>
              <w:t>email_log</w:t>
            </w:r>
          </w:p>
        </w:tc>
        <w:tc>
          <w:tcPr>
            <w:tcW w:type="dxa" w:w="3024"/>
          </w:tcPr>
          <w:p>
            <w:r>
              <w:rPr>
                <w:sz w:val="18"/>
              </w:rPr>
            </w:r>
            <w:r>
              <w:rPr>
                <w:sz w:val="18"/>
              </w:rPr>
              <w:t>Every message</w:t>
            </w:r>
          </w:p>
        </w:tc>
        <w:tc>
          <w:tcPr>
            <w:tcW w:type="dxa" w:w="3456"/>
          </w:tcPr>
          <w:p>
            <w:r>
              <w:rPr>
                <w:sz w:val="18"/>
              </w:rPr>
            </w:r>
            <w:r>
              <w:rPr>
                <w:sz w:val="18"/>
              </w:rPr>
              <w:t>Provider, recipients, status, provider message id</w:t>
            </w:r>
          </w:p>
        </w:tc>
      </w:tr>
      <w:tr>
        <w:tc>
          <w:tcPr>
            <w:tcW w:type="dxa" w:w="2736"/>
          </w:tcPr>
          <w:p>
            <w:r>
              <w:rPr>
                <w:sz w:val="18"/>
              </w:rPr>
            </w:r>
            <w:r>
              <w:rPr>
                <w:rFonts w:ascii="Consolas" w:hAnsi="Consolas"/>
                <w:color w:val="6F5900"/>
                <w:sz w:val="18"/>
              </w:rPr>
              <w:t>audit_log</w:t>
            </w:r>
          </w:p>
        </w:tc>
        <w:tc>
          <w:tcPr>
            <w:tcW w:type="dxa" w:w="3024"/>
          </w:tcPr>
          <w:p>
            <w:r>
              <w:rPr>
                <w:sz w:val="18"/>
              </w:rPr>
            </w:r>
            <w:r>
              <w:rPr>
                <w:sz w:val="18"/>
              </w:rPr>
              <w:t>The evidence trail</w:t>
            </w:r>
          </w:p>
        </w:tc>
        <w:tc>
          <w:tcPr>
            <w:tcW w:type="dxa" w:w="3456"/>
          </w:tcPr>
          <w:p>
            <w:r>
              <w:rPr>
                <w:sz w:val="18"/>
              </w:rPr>
            </w:r>
            <w:r>
              <w:rPr>
                <w:sz w:val="18"/>
              </w:rPr>
              <w:t>Append-only, enforced by trigger and revoked grants</w:t>
            </w:r>
          </w:p>
        </w:tc>
      </w:tr>
      <w:tr>
        <w:tc>
          <w:tcPr>
            <w:tcW w:type="dxa" w:w="2736"/>
          </w:tcPr>
          <w:p>
            <w:r>
              <w:rPr>
                <w:sz w:val="18"/>
              </w:rPr>
            </w:r>
            <w:r>
              <w:rPr>
                <w:rFonts w:ascii="Consolas" w:hAnsi="Consolas"/>
                <w:color w:val="6F5900"/>
                <w:sz w:val="18"/>
              </w:rPr>
              <w:t>app_settings</w:t>
            </w:r>
          </w:p>
        </w:tc>
        <w:tc>
          <w:tcPr>
            <w:tcW w:type="dxa" w:w="3024"/>
          </w:tcPr>
          <w:p>
            <w:r>
              <w:rPr>
                <w:sz w:val="18"/>
              </w:rPr>
            </w:r>
            <w:r>
              <w:rPr>
                <w:sz w:val="18"/>
              </w:rPr>
              <w:t>Runtime configuration</w:t>
            </w:r>
          </w:p>
        </w:tc>
        <w:tc>
          <w:tcPr>
            <w:tcW w:type="dxa" w:w="3456"/>
          </w:tcPr>
          <w:p>
            <w:r>
              <w:rPr>
                <w:sz w:val="18"/>
              </w:rPr>
            </w:r>
            <w:r>
              <w:rPr>
                <w:sz w:val="18"/>
              </w:rPr>
              <w:t>Secrets stored as ciphertext only</w:t>
            </w:r>
          </w:p>
        </w:tc>
      </w:tr>
      <w:tr>
        <w:tc>
          <w:tcPr>
            <w:tcW w:type="dxa" w:w="2736"/>
          </w:tcPr>
          <w:p>
            <w:r>
              <w:rPr>
                <w:sz w:val="18"/>
              </w:rPr>
            </w:r>
            <w:r>
              <w:rPr>
                <w:rFonts w:ascii="Consolas" w:hAnsi="Consolas"/>
                <w:color w:val="6F5900"/>
                <w:sz w:val="18"/>
              </w:rPr>
              <w:t>schema_migrations</w:t>
            </w:r>
          </w:p>
        </w:tc>
        <w:tc>
          <w:tcPr>
            <w:tcW w:type="dxa" w:w="3024"/>
          </w:tcPr>
          <w:p>
            <w:r>
              <w:rPr>
                <w:sz w:val="18"/>
              </w:rPr>
            </w:r>
            <w:r>
              <w:rPr>
                <w:sz w:val="18"/>
              </w:rPr>
              <w:t>Applied migrations</w:t>
            </w:r>
          </w:p>
        </w:tc>
        <w:tc>
          <w:tcPr>
            <w:tcW w:type="dxa" w:w="3456"/>
          </w:tcPr>
          <w:p>
            <w:r>
              <w:rPr>
                <w:sz w:val="18"/>
              </w:rPr>
            </w:r>
            <w:r>
              <w:rPr>
                <w:sz w:val="18"/>
              </w:rPr>
              <w:t xml:space="preserve">Written by </w:t>
            </w:r>
            <w:r>
              <w:rPr>
                <w:rFonts w:ascii="Consolas" w:hAnsi="Consolas"/>
                <w:color w:val="6F5900"/>
                <w:sz w:val="18"/>
              </w:rPr>
              <w:t>scripts/migrate.mjs</w:t>
            </w:r>
          </w:p>
        </w:tc>
      </w:tr>
    </w:tbl>
    <w:p/>
    <w:p>
      <w:pPr>
        <w:pStyle w:val="Heading2"/>
      </w:pPr>
      <w:r>
        <w:t>3.2 Row-level security</w:t>
      </w:r>
    </w:p>
    <w:p>
      <w:r>
        <w:rPr>
          <w:b w:val="0"/>
        </w:rPr>
        <w:t>Applied in migration `0001_rls-audit-seeds.sql`.</w:t>
      </w:r>
    </w:p>
    <w:p>
      <w:pPr>
        <w:pStyle w:val="CodeBlock"/>
      </w:pPr>
      <w:r>
        <w:t>CREATE OR REPLACE FUNCTION app_zone_allows(zone text) RETURNS boolean AS $$</w:t>
      </w:r>
    </w:p>
    <w:p>
      <w:pPr>
        <w:pStyle w:val="CodeBlock"/>
      </w:pPr>
      <w:r>
        <w:t xml:space="preserve">  SELECT current_setting('app.current_zone', true) = '*'</w:t>
      </w:r>
    </w:p>
    <w:p>
      <w:pPr>
        <w:pStyle w:val="CodeBlock"/>
      </w:pPr>
      <w:r>
        <w:t xml:space="preserve">      OR current_setting('app.current_zone', true) = zone;</w:t>
      </w:r>
    </w:p>
    <w:p>
      <w:pPr>
        <w:pStyle w:val="CodeBlock"/>
      </w:pPr>
      <w:r>
        <w:t>$$ LANGUAGE sql STABLE;</w:t>
      </w:r>
    </w:p>
    <w:p>
      <w:pPr>
        <w:pStyle w:val="CodeBlock"/>
      </w:pPr>
      <w:r>
        <w:t xml:space="preserve"> </w:t>
      </w:r>
    </w:p>
    <w:p>
      <w:pPr>
        <w:pStyle w:val="CodeBlock"/>
      </w:pPr>
      <w:r>
        <w:t>ALTER TABLE cases ENABLE ROW LEVEL SECURITY;</w:t>
      </w:r>
    </w:p>
    <w:p>
      <w:pPr>
        <w:pStyle w:val="CodeBlock"/>
      </w:pPr>
      <w:r>
        <w:t>CREATE POLICY cases_zone_isolation ON cases</w:t>
      </w:r>
    </w:p>
    <w:p>
      <w:pPr>
        <w:pStyle w:val="CodeBlock"/>
      </w:pPr>
      <w:r>
        <w:t xml:space="preserve">  USING (app_zone_allows(zone_id))</w:t>
      </w:r>
    </w:p>
    <w:p>
      <w:pPr>
        <w:pStyle w:val="CodeBlock"/>
      </w:pPr>
      <w:r>
        <w:t xml:space="preserve">  WITH CHECK (app_zone_allows(zone_id));</w:t>
      </w:r>
    </w:p>
    <w:p>
      <w:pPr>
        <w:pStyle w:val="ListBullet"/>
      </w:pPr>
      <w:r>
        <w:t>Child tables (</w:t>
      </w:r>
      <w:r>
        <w:rPr>
          <w:rFonts w:ascii="Consolas" w:hAnsi="Consolas"/>
          <w:color w:val="6F5900"/>
          <w:sz w:val="18"/>
        </w:rPr>
        <w:t>case_fields</w:t>
      </w:r>
      <w:r>
        <w:t xml:space="preserve">, </w:t>
      </w:r>
      <w:r>
        <w:rPr>
          <w:rFonts w:ascii="Consolas" w:hAnsi="Consolas"/>
          <w:color w:val="6F5900"/>
          <w:sz w:val="18"/>
        </w:rPr>
        <w:t>sla_clocks</w:t>
      </w:r>
      <w:r>
        <w:t xml:space="preserve">, </w:t>
      </w:r>
      <w:r>
        <w:rPr>
          <w:rFonts w:ascii="Consolas" w:hAnsi="Consolas"/>
          <w:color w:val="6F5900"/>
          <w:sz w:val="18"/>
        </w:rPr>
        <w:t>email_log</w:t>
      </w:r>
      <w:r>
        <w:t xml:space="preserve">, …) inherit isolation through an </w:t>
      </w:r>
      <w:r>
        <w:rPr>
          <w:rFonts w:ascii="Consolas" w:hAnsi="Consolas"/>
          <w:color w:val="6F5900"/>
          <w:sz w:val="18"/>
        </w:rPr>
        <w:t>EXISTS</w:t>
      </w:r>
      <w:r>
        <w:t xml:space="preserve"> clause on the parent case.</w:t>
      </w:r>
    </w:p>
    <w:p>
      <w:pPr>
        <w:pStyle w:val="ListBullet"/>
      </w:pPr>
      <w:r>
        <w:t xml:space="preserve">The API connects as </w:t>
      </w:r>
      <w:r>
        <w:rPr>
          <w:rFonts w:ascii="Consolas" w:hAnsi="Consolas"/>
          <w:color w:val="6F5900"/>
          <w:sz w:val="18"/>
        </w:rPr>
        <w:t>dsr_app</w:t>
      </w:r>
      <w:r>
        <w:t>, which is not the table owner, so it cannot bypass policies.</w:t>
      </w:r>
    </w:p>
    <w:p>
      <w:pPr>
        <w:pStyle w:val="ListBullet"/>
      </w:pPr>
      <w:r>
        <w:t xml:space="preserve">With no context set, </w:t>
      </w:r>
      <w:r>
        <w:rPr>
          <w:rFonts w:ascii="Consolas" w:hAnsi="Consolas"/>
          <w:color w:val="6F5900"/>
          <w:sz w:val="18"/>
        </w:rPr>
        <w:t>current_setting</w:t>
      </w:r>
      <w:r>
        <w:t xml:space="preserve"> returns null and every policy evaluates false: zero rows.</w:t>
      </w:r>
    </w:p>
    <w:p>
      <w:pPr>
        <w:pStyle w:val="ListBullet"/>
      </w:pPr>
      <w:r>
        <w:rPr>
          <w:rFonts w:ascii="Consolas" w:hAnsi="Consolas"/>
          <w:color w:val="6F5900"/>
          <w:sz w:val="18"/>
        </w:rPr>
        <w:t>scripts/rls-check.mjs</w:t>
      </w:r>
      <w:r>
        <w:t xml:space="preserve"> proves all of the above, including against the production database.</w:t>
      </w:r>
    </w:p>
    <w:p>
      <w:pPr>
        <w:pStyle w:val="Heading2"/>
      </w:pPr>
      <w:r>
        <w:t>3.3 Encryption</w:t>
      </w:r>
    </w:p>
    <w:p>
      <w:pPr>
        <w:pStyle w:val="ListBullet"/>
      </w:pPr>
      <w:r>
        <w:t xml:space="preserve">AES-256-GCM, with encryption and HMAC keys derived from </w:t>
      </w:r>
      <w:r>
        <w:rPr>
          <w:rFonts w:ascii="Consolas" w:hAnsi="Consolas"/>
          <w:color w:val="6F5900"/>
          <w:sz w:val="18"/>
        </w:rPr>
        <w:t>CRYPTO_MASTER_KEY</w:t>
      </w:r>
      <w:r>
        <w:t xml:space="preserve"> via HKDF.</w:t>
      </w:r>
    </w:p>
    <w:p>
      <w:pPr>
        <w:pStyle w:val="ListBullet"/>
      </w:pPr>
      <w:r>
        <w:t xml:space="preserve">Ciphertext is </w:t>
      </w:r>
      <w:r>
        <w:rPr>
          <w:rFonts w:ascii="Consolas" w:hAnsi="Consolas"/>
          <w:color w:val="6F5900"/>
          <w:sz w:val="18"/>
        </w:rPr>
        <w:t>v1:iv:ciphertext:tag</w:t>
      </w:r>
      <w:r>
        <w:t xml:space="preserve">; the version prefix leaves room for a KMS-wrapped </w:t>
      </w:r>
      <w:r>
        <w:rPr>
          <w:rFonts w:ascii="Consolas" w:hAnsi="Consolas"/>
          <w:color w:val="6F5900"/>
          <w:sz w:val="18"/>
        </w:rPr>
        <w:t>v2</w:t>
      </w:r>
      <w:r>
        <w:t>.</w:t>
      </w:r>
    </w:p>
    <w:p>
      <w:pPr>
        <w:pStyle w:val="ListBullet"/>
      </w:pPr>
      <w:r>
        <w:rPr>
          <w:rFonts w:ascii="Consolas" w:hAnsi="Consolas"/>
          <w:color w:val="6F5900"/>
          <w:sz w:val="18"/>
        </w:rPr>
        <w:t>requester_email_hmac</w:t>
      </w:r>
      <w:r>
        <w:t xml:space="preserve"> is a deterministic keyed hash, so equality lookups work without decrypting.</w:t>
      </w:r>
    </w:p>
    <w:p>
      <w:pPr>
        <w:pStyle w:val="ListBullet"/>
      </w:pPr>
      <w:r>
        <w:t xml:space="preserve">Field-level encryption applies to a fixed set of identifier keys, listed in </w:t>
      </w:r>
      <w:r>
        <w:rPr>
          <w:rFonts w:ascii="Consolas" w:hAnsi="Consolas"/>
          <w:color w:val="6F5900"/>
          <w:sz w:val="18"/>
        </w:rPr>
        <w:t>intake.service.ts</w:t>
      </w:r>
      <w:r>
        <w:t>.</w:t>
      </w:r>
    </w:p>
    <w:p>
      <w:r>
        <w:br w:type="page"/>
      </w:r>
    </w:p>
    <w:p>
      <w:pPr>
        <w:pStyle w:val="Heading1"/>
      </w:pPr>
      <w:r>
        <w:t>4. Pipelines and flows</w:t>
      </w:r>
    </w:p>
    <w:p>
      <w:pPr>
        <w:pStyle w:val="Heading2"/>
      </w:pPr>
      <w:r>
        <w:t>4.1 Public intake, end to end</w:t>
      </w:r>
    </w:p>
    <w:p>
      <w:pPr>
        <w:pStyle w:val="CodeBlock"/>
      </w:pPr>
      <w:r>
        <w:t>browser                    API                          database        email</w:t>
      </w:r>
    </w:p>
    <w:p>
      <w:pPr>
        <w:pStyle w:val="CodeBlock"/>
      </w:pPr>
      <w:r>
        <w:t xml:space="preserve">  │  POST /public/drafts    │                              │              │</w:t>
      </w:r>
    </w:p>
    <w:p>
      <w:pPr>
        <w:pStyle w:val="CodeBlock"/>
      </w:pPr>
      <w:r>
        <w:t xml:space="preserve">  ├────────────────────────►│ insert form_drafts ─────────►│              │</w:t>
      </w:r>
    </w:p>
    <w:p>
      <w:pPr>
        <w:pStyle w:val="CodeBlock"/>
      </w:pPr>
      <w:r>
        <w:t xml:space="preserve">  │◄── draftId + dsr_sid ───┤                              │              │</w:t>
      </w:r>
    </w:p>
    <w:p>
      <w:pPr>
        <w:pStyle w:val="CodeBlock"/>
      </w:pPr>
      <w:r>
        <w:t xml:space="preserve">  │                         │                              │              │</w:t>
      </w:r>
    </w:p>
    <w:p>
      <w:pPr>
        <w:pStyle w:val="CodeBlock"/>
      </w:pPr>
      <w:r>
        <w:t xml:space="preserve">  │  POST verification/send │                              │              │</w:t>
      </w:r>
    </w:p>
    <w:p>
      <w:pPr>
        <w:pStyle w:val="CodeBlock"/>
      </w:pPr>
      <w:r>
        <w:t xml:space="preserve">  ├────────────────────────►│ validate, CAPTCHA, rate limit│              │</w:t>
      </w:r>
    </w:p>
    <w:p>
      <w:pPr>
        <w:pStyle w:val="CodeBlock"/>
      </w:pPr>
      <w:r>
        <w:t xml:space="preserve">  │                         │ insert verification_tokens ─►│              │</w:t>
      </w:r>
    </w:p>
    <w:p>
      <w:pPr>
        <w:pStyle w:val="CodeBlock"/>
      </w:pPr>
      <w:r>
        <w:t xml:space="preserve">  │◄── {accepted} ~0.5s ────┤ dispatch in background ──────┼─────────────►│</w:t>
      </w:r>
    </w:p>
    <w:p>
      <w:pPr>
        <w:pStyle w:val="CodeBlock"/>
      </w:pPr>
      <w:r>
        <w:t xml:space="preserve">  │                         │                              │              │</w:t>
      </w:r>
    </w:p>
    <w:p>
      <w:pPr>
        <w:pStyle w:val="CodeBlock"/>
      </w:pPr>
      <w:r>
        <w:t xml:space="preserve">  │  GET consume?token=…    │ atomic single-use UPDATE ───►│              │</w:t>
      </w:r>
    </w:p>
    <w:p>
      <w:pPr>
        <w:pStyle w:val="CodeBlock"/>
      </w:pPr>
      <w:r>
        <w:t xml:space="preserve">  │◄── confirmed page ──────┤ mark draft verified          │              │</w:t>
      </w:r>
    </w:p>
    <w:p>
      <w:pPr>
        <w:pStyle w:val="CodeBlock"/>
      </w:pPr>
      <w:r>
        <w:t xml:space="preserve">  │                         │                              │              │</w:t>
      </w:r>
    </w:p>
    <w:p>
      <w:pPr>
        <w:pStyle w:val="CodeBlock"/>
      </w:pPr>
      <w:r>
        <w:t xml:space="preserve">  │  POST /public/submissions                              │              │</w:t>
      </w:r>
    </w:p>
    <w:p>
      <w:pPr>
        <w:pStyle w:val="CodeBlock"/>
      </w:pPr>
      <w:r>
        <w:t xml:space="preserve">  ├────────────────────────►│ re-validate every field      │              │</w:t>
      </w:r>
    </w:p>
    <w:p>
      <w:pPr>
        <w:pStyle w:val="CodeBlock"/>
      </w:pPr>
      <w:r>
        <w:t xml:space="preserve">  │                         │ check session verified email │              │</w:t>
      </w:r>
    </w:p>
    <w:p>
      <w:pPr>
        <w:pStyle w:val="CodeBlock"/>
      </w:pPr>
      <w:r>
        <w:t xml:space="preserve">  │                         │ allocate ref, encrypt, insert│              │</w:t>
      </w:r>
    </w:p>
    <w:p>
      <w:pPr>
        <w:pStyle w:val="CodeBlock"/>
      </w:pPr>
      <w:r>
        <w:t xml:space="preserve">  │                         │ start SLA clock, audit ─────►│              │</w:t>
      </w:r>
    </w:p>
    <w:p>
      <w:pPr>
        <w:pStyle w:val="CodeBlock"/>
      </w:pPr>
      <w:r>
        <w:t xml:space="preserve">  │◄── {caseRef} ───────────┤ acknowledgement + assign ────┼─────────────►│</w:t>
      </w:r>
    </w:p>
    <w:p>
      <w:pPr>
        <w:pStyle w:val="ListNumber"/>
      </w:pPr>
      <w:r>
        <w:rPr>
          <w:b/>
        </w:rPr>
        <w:t>Draft.</w:t>
      </w:r>
      <w:r>
        <w:t xml:space="preserve"> A session cookie (</w:t>
      </w:r>
      <w:r>
        <w:rPr>
          <w:rFonts w:ascii="Consolas" w:hAnsi="Consolas"/>
          <w:color w:val="6F5900"/>
          <w:sz w:val="18"/>
        </w:rPr>
        <w:t>dsr_sid</w:t>
      </w:r>
      <w:r>
        <w:t>, HttpOnly, SameSite=Strict) and a draft row are created. Nothing personal is stored.</w:t>
      </w:r>
    </w:p>
    <w:p>
      <w:pPr>
        <w:pStyle w:val="ListNumber"/>
      </w:pPr>
      <w:r>
        <w:rPr>
          <w:b/>
        </w:rPr>
        <w:t>Verification send.</w:t>
      </w:r>
      <w:r>
        <w:t xml:space="preserve"> The address is validated, CAPTCHA checked if configured, and two rate limits consumed. A 256-bit token is generated, stored as a SHA-256 hash, and the plaintext goes only into the emailed URL.</w:t>
      </w:r>
    </w:p>
    <w:p>
      <w:pPr>
        <w:pStyle w:val="ListNumber"/>
      </w:pPr>
      <w:r>
        <w:rPr>
          <w:b/>
        </w:rPr>
        <w:t>Uniform response.</w:t>
      </w:r>
      <w:r>
        <w:t xml:space="preserve"> The endpoint always returns </w:t>
      </w:r>
      <w:r>
        <w:rPr>
          <w:rFonts w:ascii="Consolas" w:hAnsi="Consolas"/>
          <w:color w:val="6F5900"/>
          <w:sz w:val="18"/>
        </w:rPr>
        <w:t>{status:'accepted'}</w:t>
      </w:r>
      <w:r>
        <w:t xml:space="preserve"> after a minimum of 400 ms, whatever happened internally, so nothing can be probed. Delivery happens in the background, so a slow provider cannot stall the request.</w:t>
      </w:r>
    </w:p>
    <w:p>
      <w:pPr>
        <w:pStyle w:val="ListNumber"/>
      </w:pPr>
      <w:r>
        <w:rPr>
          <w:b/>
        </w:rPr>
        <w:t>Consume.</w:t>
      </w:r>
      <w:r>
        <w:t xml:space="preserve"> A single conditional UPDATE claims the token. A replay affects zero rows and gets the same generic page.</w:t>
      </w:r>
    </w:p>
    <w:p>
      <w:pPr>
        <w:pStyle w:val="ListNumber"/>
      </w:pPr>
      <w:r>
        <w:rPr>
          <w:b/>
        </w:rPr>
        <w:t>Submit.</w:t>
      </w:r>
      <w:r>
        <w:t xml:space="preserve"> Every field is re-validated against the stored schema; unknown fields are rejected rather than ignored. The submitted email must match the session's verified email.</w:t>
      </w:r>
    </w:p>
    <w:p>
      <w:pPr>
        <w:pStyle w:val="ListNumber"/>
      </w:pPr>
      <w:r>
        <w:rPr>
          <w:b/>
        </w:rPr>
        <w:t>Persist.</w:t>
      </w:r>
      <w:r>
        <w:t xml:space="preserve"> Reference allocation, encryption, field rows, status history and the SLA clock all happen in one transaction.</w:t>
      </w:r>
    </w:p>
    <w:p>
      <w:pPr>
        <w:pStyle w:val="ListNumber"/>
      </w:pPr>
      <w:r>
        <w:rPr>
          <w:b/>
        </w:rPr>
        <w:t>After.</w:t>
      </w:r>
      <w:r>
        <w:t xml:space="preserve"> Acknowledgement email and auto-assignment run outside the transaction and never block the response.</w:t>
      </w:r>
    </w:p>
    <w:p>
      <w:pPr>
        <w:pStyle w:val="Heading2"/>
      </w:pPr>
      <w:r>
        <w:t>4.2 Authentication and authorisation</w:t>
      </w:r>
    </w:p>
    <w:p>
      <w:pPr>
        <w:pStyle w:val="CodeBlock"/>
      </w:pPr>
      <w:r>
        <w:t>request ─► AuthGuard</w:t>
      </w:r>
    </w:p>
    <w:p>
      <w:pPr>
        <w:pStyle w:val="CodeBlock"/>
      </w:pPr>
      <w:r>
        <w:t xml:space="preserve">             ├─ read dsr_int cookie</w:t>
      </w:r>
    </w:p>
    <w:p>
      <w:pPr>
        <w:pStyle w:val="CodeBlock"/>
      </w:pPr>
      <w:r>
        <w:t xml:space="preserve">             ├─ resolveSession()  ── idle + absolute expiry, user still active</w:t>
      </w:r>
    </w:p>
    <w:p>
      <w:pPr>
        <w:pStyle w:val="CodeBlock"/>
      </w:pPr>
      <w:r>
        <w:t xml:space="preserve">             ├─ satisfies(role, @Roles)      ← the ladder, auditor excluded</w:t>
      </w:r>
    </w:p>
    <w:p>
      <w:pPr>
        <w:pStyle w:val="CodeBlock"/>
      </w:pPr>
      <w:r>
        <w:t xml:space="preserve">             └─ attach req.user, req.zoneCtx ─► controller ─► DbService.withContext</w:t>
      </w:r>
    </w:p>
    <w:p>
      <w:pPr>
        <w:pStyle w:val="CodeBlock"/>
      </w:pPr>
      <w:r>
        <w:t xml:space="preserve">                                                                 └─ SET LOCAL app.current_zone</w:t>
      </w:r>
    </w:p>
    <w:p>
      <w:r>
        <w:rPr>
          <w:b w:val="0"/>
        </w:rPr>
        <w:t>The ladder is `zone_agent &lt; zone_manager &lt; admin &lt; super_admin`. `auditor` sits outside it: it never inherits write access, and a route open to auditors does not become open to every ladder role. That subtlety is unit-tested in `auth.guard.spec.ts`.</w:t>
      </w:r>
    </w:p>
    <w:p>
      <w:pPr>
        <w:pStyle w:val="Heading2"/>
      </w:pPr>
      <w:r>
        <w:t>4.3 Email dispatch</w:t>
      </w:r>
    </w:p>
    <w:p>
      <w:pPr>
        <w:pStyle w:val="CodeBlock"/>
      </w:pPr>
      <w:r>
        <w:t>caller ─► EMAIL_PROVIDER (EmailDispatcher)</w:t>
      </w:r>
    </w:p>
    <w:p>
      <w:pPr>
        <w:pStyle w:val="CodeBlock"/>
      </w:pPr>
      <w:r>
        <w:t xml:space="preserve">             └─ settings.get('EMAIL_PROVIDER')   ← read per call, not at boot</w:t>
      </w:r>
    </w:p>
    <w:p>
      <w:pPr>
        <w:pStyle w:val="CodeBlock"/>
      </w:pPr>
      <w:r>
        <w:t xml:space="preserve">                  ├─ gmail   → SMTP app password (blocked here) | Gmail API over OAuth2</w:t>
      </w:r>
    </w:p>
    <w:p>
      <w:pPr>
        <w:pStyle w:val="CodeBlock"/>
      </w:pPr>
      <w:r>
        <w:t xml:space="preserve">                  ├─ smtp    → any SMTP server</w:t>
      </w:r>
    </w:p>
    <w:p>
      <w:pPr>
        <w:pStyle w:val="CodeBlock"/>
      </w:pPr>
      <w:r>
        <w:t xml:space="preserve">                  ├─ resend  → HTTPS API</w:t>
      </w:r>
    </w:p>
    <w:p>
      <w:pPr>
        <w:pStyle w:val="CodeBlock"/>
      </w:pPr>
      <w:r>
        <w:t xml:space="preserve">                  ├─ graph   → Microsoft Graph over HTTPS</w:t>
      </w:r>
    </w:p>
    <w:p>
      <w:pPr>
        <w:pStyle w:val="CodeBlock"/>
      </w:pPr>
      <w:r>
        <w:t xml:space="preserve">                  └─ console → log only, refused in production</w:t>
      </w:r>
    </w:p>
    <w:p>
      <w:pPr>
        <w:pStyle w:val="ListBullet"/>
      </w:pPr>
      <w:r>
        <w:t>Because the adapter is resolved per call, changing the provider in Settings takes effect immediately.</w:t>
      </w:r>
    </w:p>
    <w:p>
      <w:pPr>
        <w:pStyle w:val="ListBullet"/>
      </w:pPr>
      <w:r>
        <w:t xml:space="preserve">SMTP transports pin to IPv4 and set connection, greeting and socket timeouts. Both were real production faults: a host without an IPv6 route produced </w:t>
      </w:r>
      <w:r>
        <w:rPr>
          <w:rFonts w:ascii="Consolas" w:hAnsi="Consolas"/>
          <w:color w:val="6F5900"/>
          <w:sz w:val="18"/>
        </w:rPr>
        <w:t>ENETUNREACH</w:t>
      </w:r>
      <w:r>
        <w:t>, and an untimed socket produced a gateway timeout.</w:t>
      </w:r>
    </w:p>
    <w:p>
      <w:pPr>
        <w:pStyle w:val="ListBullet"/>
      </w:pPr>
      <w:r>
        <w:rPr>
          <w:rFonts w:ascii="Consolas" w:hAnsi="Consolas"/>
          <w:color w:val="6F5900"/>
          <w:sz w:val="18"/>
        </w:rPr>
        <w:t>diagnoseSmtp</w:t>
      </w:r>
      <w:r>
        <w:t xml:space="preserve"> checks DNS, TCP, TLS and authentication separately and maps common errors to an operator-facing explanation.</w:t>
      </w:r>
    </w:p>
    <w:p>
      <w:pPr>
        <w:pStyle w:val="ListBullet"/>
      </w:pPr>
      <w:r>
        <w:t xml:space="preserve">This host blocks outbound 25, 465 and 587 but leaves </w:t>
      </w:r>
      <w:r>
        <w:rPr>
          <w:b/>
        </w:rPr>
        <w:t>2525</w:t>
      </w:r>
      <w:r>
        <w:t xml:space="preserve"> open, so a relay such as SendGrid, Brevo or Mailgun works through the Custom SMTP provider on that port. Gmail publishes no alternative port, which is why Gmail must go over the API.</w:t>
      </w:r>
    </w:p>
    <w:p>
      <w:pPr>
        <w:pStyle w:val="Heading3"/>
      </w:pPr>
      <w:r>
        <w:t>Gmail authorisation</w:t>
      </w:r>
    </w:p>
    <w:p>
      <w:pPr>
        <w:pStyle w:val="CodeBlock"/>
      </w:pPr>
      <w:r>
        <w:t>admin presses Connect</w:t>
      </w:r>
    </w:p>
    <w:p>
      <w:pPr>
        <w:pStyle w:val="CodeBlock"/>
      </w:pPr>
      <w:r>
        <w:t xml:space="preserve">  ├─ POST settings/email/gmail/authorize      ← super_admin only</w:t>
      </w:r>
    </w:p>
    <w:p>
      <w:pPr>
        <w:pStyle w:val="CodeBlock"/>
      </w:pPr>
      <w:r>
        <w:t xml:space="preserve">  │     └─ GmailOauthService.begin()</w:t>
      </w:r>
    </w:p>
    <w:p>
      <w:pPr>
        <w:pStyle w:val="CodeBlock"/>
      </w:pPr>
      <w:r>
        <w:t xml:space="preserve">  │           ├─ state = 32 random bytes, held in memory with the origin</w:t>
      </w:r>
    </w:p>
    <w:p>
      <w:pPr>
        <w:pStyle w:val="CodeBlock"/>
      </w:pPr>
      <w:r>
        <w:t xml:space="preserve">  │           └─ returns accounts.google.com/o/oauth2/v2/auth?...</w:t>
      </w:r>
    </w:p>
    <w:p>
      <w:pPr>
        <w:pStyle w:val="CodeBlock"/>
      </w:pPr>
      <w:r>
        <w:t xml:space="preserve">  │                 access_type=offline  prompt=consent  scope=gmail.send</w:t>
      </w:r>
    </w:p>
    <w:p>
      <w:pPr>
        <w:pStyle w:val="CodeBlock"/>
      </w:pPr>
      <w:r>
        <w:t xml:space="preserve">  ├─ user consents on Google</w:t>
      </w:r>
    </w:p>
    <w:p>
      <w:pPr>
        <w:pStyle w:val="CodeBlock"/>
      </w:pPr>
      <w:r>
        <w:t xml:space="preserve">  └─ GET internal/admin/settings/email/gmail/callback?code&amp;state   ← unauthenticated</w:t>
      </w:r>
    </w:p>
    <w:p>
      <w:pPr>
        <w:pStyle w:val="CodeBlock"/>
      </w:pPr>
      <w:r>
        <w:t xml:space="preserve">        ├─ state looked up and consumed (single use)</w:t>
      </w:r>
    </w:p>
    <w:p>
      <w:pPr>
        <w:pStyle w:val="CodeBlock"/>
      </w:pPr>
      <w:r>
        <w:t xml:space="preserve">        ├─ code exchanged for a refresh token</w:t>
      </w:r>
    </w:p>
    <w:p>
      <w:pPr>
        <w:pStyle w:val="CodeBlock"/>
      </w:pPr>
      <w:r>
        <w:t xml:space="preserve">        ├─ GMAIL_OAUTH_REFRESH_TOKEN stored encrypted</w:t>
      </w:r>
    </w:p>
    <w:p>
      <w:pPr>
        <w:pStyle w:val="CodeBlock"/>
      </w:pPr>
      <w:r>
        <w:t xml:space="preserve">        ├─ GMAIL_AUTH=oauth2, EMAIL_PROVIDER=gmail</w:t>
      </w:r>
    </w:p>
    <w:p>
      <w:pPr>
        <w:pStyle w:val="CodeBlock"/>
      </w:pPr>
      <w:r>
        <w:t xml:space="preserve">        └─ GMAIL_USER filled from the Gmail profile API</w:t>
      </w:r>
    </w:p>
    <w:p>
      <w:pPr>
        <w:pStyle w:val="ListBullet"/>
      </w:pPr>
      <w:r>
        <w:t xml:space="preserve">The callback route cannot require a session, because Google redirects the browser to it from a different origin. </w:t>
      </w:r>
      <w:r>
        <w:rPr>
          <w:rFonts w:ascii="Consolas" w:hAnsi="Consolas"/>
          <w:color w:val="6F5900"/>
          <w:sz w:val="18"/>
        </w:rPr>
        <w:t>state</w:t>
      </w:r>
      <w:r>
        <w:t xml:space="preserve"> is what ties the callback back to the administrator who started it, and it is consumed on first use.</w:t>
      </w:r>
    </w:p>
    <w:p>
      <w:pPr>
        <w:pStyle w:val="ListBullet"/>
      </w:pPr>
      <w:r>
        <w:t xml:space="preserve">The pending state lives in memory rather than in the session cookie, because that cookie is </w:t>
      </w:r>
      <w:r>
        <w:rPr>
          <w:rFonts w:ascii="Consolas" w:hAnsi="Consolas"/>
          <w:color w:val="6F5900"/>
          <w:sz w:val="18"/>
        </w:rPr>
        <w:t>SameSite=Strict</w:t>
      </w:r>
      <w:r>
        <w:t xml:space="preserve"> and is therefore not sent on Google's cross-site redirect.</w:t>
      </w:r>
    </w:p>
    <w:p>
      <w:pPr>
        <w:pStyle w:val="ListBullet"/>
      </w:pPr>
      <w:r>
        <w:t xml:space="preserve">The redirect URI is derived from </w:t>
      </w:r>
      <w:r>
        <w:rPr>
          <w:rFonts w:ascii="Consolas" w:hAnsi="Consolas"/>
          <w:color w:val="6F5900"/>
          <w:sz w:val="18"/>
        </w:rPr>
        <w:t>PORTAL_INTERNAL_URL</w:t>
      </w:r>
      <w:r>
        <w:t xml:space="preserve"> and shown on the Settings screen with a copy button, so it matches what is registered in Google Cloud byte for byte.</w:t>
      </w:r>
    </w:p>
    <w:p>
      <w:pPr>
        <w:pStyle w:val="Heading2"/>
      </w:pPr>
      <w:r>
        <w:t>4.4 The SLA engine</w:t>
      </w:r>
    </w:p>
    <w:p>
      <w:pPr>
        <w:pStyle w:val="CodeBlock"/>
      </w:pPr>
      <w:r>
        <w:t>@Interval(1h) ─► recomputeAll()</w:t>
      </w:r>
    </w:p>
    <w:p>
      <w:pPr>
        <w:pStyle w:val="CodeBlock"/>
      </w:pPr>
      <w:r>
        <w:t xml:space="preserve">                  ├─ pg_try_advisory_xact_lock  ← only one instance proceeds</w:t>
      </w:r>
    </w:p>
    <w:p>
      <w:pPr>
        <w:pStyle w:val="CodeBlock"/>
      </w:pPr>
      <w:r>
        <w:t xml:space="preserve">                  ├─ running clocks past due    → state=breached, case=overdue</w:t>
      </w:r>
    </w:p>
    <w:p>
      <w:pPr>
        <w:pStyle w:val="CodeBlock"/>
      </w:pPr>
      <w:r>
        <w:t xml:space="preserve">                  └─ per clock: elapsed / total → fire unfired reminder thresholds</w:t>
      </w:r>
    </w:p>
    <w:p>
      <w:pPr>
        <w:pStyle w:val="ListBullet"/>
      </w:pPr>
      <w:r>
        <w:t>Idempotent by construction: fired thresholds are recorded, so a reminder is never sent twice.</w:t>
      </w:r>
    </w:p>
    <w:p>
      <w:pPr>
        <w:pStyle w:val="ListBullet"/>
      </w:pPr>
      <w:r>
        <w:t>A send failure does not mark the threshold fired, so the next sweep retries it.</w:t>
      </w:r>
    </w:p>
    <w:p>
      <w:pPr>
        <w:pStyle w:val="ListBullet"/>
      </w:pPr>
      <w:r>
        <w:rPr>
          <w:rFonts w:ascii="Consolas" w:hAnsi="Consolas"/>
          <w:color w:val="6F5900"/>
          <w:sz w:val="18"/>
        </w:rPr>
        <w:t>Overdue</w:t>
      </w:r>
      <w:r>
        <w:t xml:space="preserve"> is only ever set here, never by a user.</w:t>
      </w:r>
    </w:p>
    <w:p>
      <w:pPr>
        <w:pStyle w:val="ListBullet"/>
      </w:pPr>
      <w:r>
        <w:t>Pause records the moment; resume adds the paused duration to the due date so no time is lost or gained.</w:t>
      </w:r>
    </w:p>
    <w:p>
      <w:pPr>
        <w:pStyle w:val="Heading2"/>
      </w:pPr>
      <w:r>
        <w:t>4.5 Publishing a form</w:t>
      </w:r>
    </w:p>
    <w:p>
      <w:pPr>
        <w:pStyle w:val="CodeBlock"/>
      </w:pPr>
      <w:r>
        <w:t>builder ─► PUT /internal/forms/:key</w:t>
      </w:r>
    </w:p>
    <w:p>
      <w:pPr>
        <w:pStyle w:val="CodeBlock"/>
      </w:pPr>
      <w:r>
        <w:t xml:space="preserve">             ├─ zone check (a zone manager may only touch their own)</w:t>
      </w:r>
    </w:p>
    <w:p>
      <w:pPr>
        <w:pStyle w:val="CodeBlock"/>
      </w:pPr>
      <w:r>
        <w:t xml:space="preserve">             ├─ merge onto the current schema, key and zone pinned</w:t>
      </w:r>
    </w:p>
    <w:p>
      <w:pPr>
        <w:pStyle w:val="CodeBlock"/>
      </w:pPr>
      <w:r>
        <w:t xml:space="preserve">             ├─ validateSchema()  ── types, unique keys, labels, options,</w:t>
      </w:r>
    </w:p>
    <w:p>
      <w:pPr>
        <w:pStyle w:val="CodeBlock"/>
      </w:pPr>
      <w:r>
        <w:t xml:space="preserve">             │                       and the mandatory 'email' field</w:t>
      </w:r>
    </w:p>
    <w:p>
      <w:pPr>
        <w:pStyle w:val="CodeBlock"/>
      </w:pPr>
      <w:r>
        <w:t xml:space="preserve">             ├─ INSERT form_versions (version = max + 1)</w:t>
      </w:r>
    </w:p>
    <w:p>
      <w:pPr>
        <w:pStyle w:val="CodeBlock"/>
      </w:pPr>
      <w:r>
        <w:t xml:space="preserve">             └─ audit form.published</w:t>
      </w:r>
    </w:p>
    <w:p>
      <w:pPr>
        <w:pStyle w:val="CodeBlock"/>
      </w:pPr>
      <w:r>
        <w:t>public form ─► GET /public/forms/:key   ← always the newest version</w:t>
      </w:r>
    </w:p>
    <w:p>
      <w:pPr>
        <w:pStyle w:val="CodeBlock"/>
      </w:pPr>
      <w:r>
        <w:t>existing case ─► rendered against cases.form_version  ← unchanged</w:t>
      </w:r>
    </w:p>
    <w:tbl>
      <w:tblPr>
        <w:tblW w:type="auto" w:w="0"/>
        <w:jc w:val="center"/>
        <w:tblLook w:firstColumn="1" w:firstRow="1" w:lastColumn="0" w:lastRow="0" w:noHBand="0" w:noVBand="1" w:val="04A0"/>
      </w:tblPr>
      <w:tblGrid>
        <w:gridCol w:w="9648"/>
      </w:tblGrid>
      <w:tr>
        <w:tc>
          <w:tcPr>
            <w:tcW w:type="dxa" w:w="9648"/>
            <w:shd w:fill="EEF0FB"/>
          </w:tcPr>
          <w:p>
            <w:r>
              <w:rPr>
                <w:b/>
                <w:sz w:val="19"/>
              </w:rPr>
              <w:t xml:space="preserve">Note  </w:t>
            </w:r>
            <w:r>
              <w:rPr>
                <w:sz w:val="19"/>
              </w:rPr>
              <w:t xml:space="preserve">This is why the public SPA reads schemas from the API rather than the static files in </w:t>
            </w:r>
            <w:r>
              <w:rPr>
                <w:rFonts w:ascii="Consolas" w:hAnsi="Consolas"/>
                <w:color w:val="6F5900"/>
                <w:sz w:val="19"/>
              </w:rPr>
              <w:t>form-schema/</w:t>
            </w:r>
            <w:r>
              <w:rPr>
                <w:sz w:val="19"/>
              </w:rPr>
              <w:t>. Those files are only the import seed.</w:t>
            </w:r>
          </w:p>
        </w:tc>
      </w:tr>
    </w:tbl>
    <w:p/>
    <w:p>
      <w:pPr>
        <w:pStyle w:val="Heading2"/>
      </w:pPr>
      <w:r>
        <w:t>4.6 Settings resolution</w:t>
      </w:r>
    </w:p>
    <w:p>
      <w:pPr>
        <w:pStyle w:val="CodeBlock"/>
      </w:pPr>
      <w:r>
        <w:t>SettingsService.get(key)</w:t>
      </w:r>
    </w:p>
    <w:p>
      <w:pPr>
        <w:pStyle w:val="CodeBlock"/>
      </w:pPr>
      <w:r>
        <w:t xml:space="preserve">   ├─ in-memory cache  ← app_settings, refreshed on write and every 60s</w:t>
      </w:r>
    </w:p>
    <w:p>
      <w:pPr>
        <w:pStyle w:val="CodeBlock"/>
      </w:pPr>
      <w:r>
        <w:t xml:space="preserve">   ├─ process env</w:t>
      </w:r>
    </w:p>
    <w:p>
      <w:pPr>
        <w:pStyle w:val="CodeBlock"/>
      </w:pPr>
      <w:r>
        <w:t xml:space="preserve">   └─ catalog default</w:t>
      </w:r>
    </w:p>
    <w:p>
      <w:r>
        <w:rPr>
          <w:b w:val="0"/>
        </w:rPr>
        <w:t>Reads are synchronous so the service is a drop-in replacement for `ConfigService`. Secrets are encrypted on write and never returned to the client; the API reports only whether one is set and where the effective value comes from.</w:t>
      </w:r>
    </w:p>
    <w:p>
      <w:r>
        <w:br w:type="page"/>
      </w:r>
    </w:p>
    <w:p>
      <w:pPr>
        <w:pStyle w:val="Heading1"/>
      </w:pPr>
      <w:r>
        <w:t>5. HTTP API reference</w:t>
      </w:r>
    </w:p>
    <w:p>
      <w:r>
        <w:rPr>
          <w:b w:val="0"/>
        </w:rPr>
        <w:t>65 endpoints. Everything under `/public/` is unauthenticated by design; everything under `/internal/` requires a session cookie and, where shown, a role.</w:t>
      </w:r>
    </w:p>
    <w:p>
      <w:pPr>
        <w:pStyle w:val="Heading2"/>
      </w:pPr>
      <w:r>
        <w:t>5.1 Public endpoints</w:t>
      </w:r>
    </w:p>
    <w:tbl>
      <w:tblPr>
        <w:tblStyle w:val="LightGrid-Accent1"/>
        <w:tblW w:type="auto" w:w="0"/>
        <w:tblLook w:firstColumn="1" w:firstRow="1" w:lastColumn="0" w:lastRow="0" w:noHBand="0" w:noVBand="1" w:val="04A0"/>
      </w:tblPr>
      <w:tblGrid>
        <w:gridCol w:w="3216"/>
        <w:gridCol w:w="3216"/>
        <w:gridCol w:w="3216"/>
      </w:tblGrid>
      <w:tr>
        <w:tc>
          <w:tcPr>
            <w:tcW w:type="dxa" w:w="1152"/>
          </w:tcPr>
          <w:p>
            <w:r/>
            <w:r>
              <w:rPr>
                <w:b/>
                <w:sz w:val="18"/>
              </w:rPr>
              <w:t>Method</w:t>
            </w:r>
          </w:p>
        </w:tc>
        <w:tc>
          <w:tcPr>
            <w:tcW w:type="dxa" w:w="4032"/>
          </w:tcPr>
          <w:p>
            <w:r/>
            <w:r>
              <w:rPr>
                <w:b/>
                <w:sz w:val="18"/>
              </w:rPr>
              <w:t>Path</w:t>
            </w:r>
          </w:p>
        </w:tc>
        <w:tc>
          <w:tcPr>
            <w:tcW w:type="dxa" w:w="4032"/>
          </w:tcPr>
          <w:p>
            <w:r/>
            <w:r>
              <w:rPr>
                <w:b/>
                <w:sz w:val="18"/>
              </w:rPr>
              <w:t>Purpose</w:t>
            </w:r>
          </w:p>
        </w:tc>
      </w:tr>
      <w:tr>
        <w:tc>
          <w:tcPr>
            <w:tcW w:type="dxa" w:w="1152"/>
          </w:tcPr>
          <w:p>
            <w:r>
              <w:rPr>
                <w:sz w:val="18"/>
              </w:rPr>
            </w:r>
            <w:r>
              <w:rPr>
                <w:sz w:val="18"/>
              </w:rPr>
              <w:t>GET</w:t>
            </w:r>
          </w:p>
        </w:tc>
        <w:tc>
          <w:tcPr>
            <w:tcW w:type="dxa" w:w="4032"/>
          </w:tcPr>
          <w:p>
            <w:r>
              <w:rPr>
                <w:sz w:val="18"/>
              </w:rPr>
            </w:r>
            <w:r>
              <w:rPr>
                <w:rFonts w:ascii="Consolas" w:hAnsi="Consolas"/>
                <w:color w:val="6F5900"/>
                <w:sz w:val="18"/>
              </w:rPr>
              <w:t>/public/forms</w:t>
            </w:r>
          </w:p>
        </w:tc>
        <w:tc>
          <w:tcPr>
            <w:tcW w:type="dxa" w:w="4032"/>
          </w:tcPr>
          <w:p>
            <w:r>
              <w:rPr>
                <w:sz w:val="18"/>
              </w:rPr>
            </w:r>
            <w:r>
              <w:rPr>
                <w:sz w:val="18"/>
              </w:rPr>
              <w:t>Form manifest for the public picker</w:t>
            </w:r>
          </w:p>
        </w:tc>
      </w:tr>
      <w:tr>
        <w:tc>
          <w:tcPr>
            <w:tcW w:type="dxa" w:w="1152"/>
          </w:tcPr>
          <w:p>
            <w:r>
              <w:rPr>
                <w:sz w:val="18"/>
              </w:rPr>
            </w:r>
            <w:r>
              <w:rPr>
                <w:sz w:val="18"/>
              </w:rPr>
              <w:t>GET</w:t>
            </w:r>
          </w:p>
        </w:tc>
        <w:tc>
          <w:tcPr>
            <w:tcW w:type="dxa" w:w="4032"/>
          </w:tcPr>
          <w:p>
            <w:r>
              <w:rPr>
                <w:sz w:val="18"/>
              </w:rPr>
            </w:r>
            <w:r>
              <w:rPr>
                <w:rFonts w:ascii="Consolas" w:hAnsi="Consolas"/>
                <w:color w:val="6F5900"/>
                <w:sz w:val="18"/>
              </w:rPr>
              <w:t>/public/forms/:key</w:t>
            </w:r>
          </w:p>
        </w:tc>
        <w:tc>
          <w:tcPr>
            <w:tcW w:type="dxa" w:w="4032"/>
          </w:tcPr>
          <w:p>
            <w:r>
              <w:rPr>
                <w:sz w:val="18"/>
              </w:rPr>
            </w:r>
            <w:r>
              <w:rPr>
                <w:sz w:val="18"/>
              </w:rPr>
              <w:t>One form schema, newest published version</w:t>
            </w:r>
          </w:p>
        </w:tc>
      </w:tr>
      <w:tr>
        <w:tc>
          <w:tcPr>
            <w:tcW w:type="dxa" w:w="1152"/>
          </w:tcPr>
          <w:p>
            <w:r>
              <w:rPr>
                <w:sz w:val="18"/>
              </w:rPr>
            </w:r>
            <w:r>
              <w:rPr>
                <w:sz w:val="18"/>
              </w:rPr>
              <w:t>POST</w:t>
            </w:r>
          </w:p>
        </w:tc>
        <w:tc>
          <w:tcPr>
            <w:tcW w:type="dxa" w:w="4032"/>
          </w:tcPr>
          <w:p>
            <w:r>
              <w:rPr>
                <w:sz w:val="18"/>
              </w:rPr>
            </w:r>
            <w:r>
              <w:rPr>
                <w:rFonts w:ascii="Consolas" w:hAnsi="Consolas"/>
                <w:color w:val="6F5900"/>
                <w:sz w:val="18"/>
              </w:rPr>
              <w:t>/public/drafts/:draftId/attachments</w:t>
            </w:r>
          </w:p>
        </w:tc>
        <w:tc>
          <w:tcPr>
            <w:tcW w:type="dxa" w:w="4032"/>
          </w:tcPr>
          <w:p>
            <w:r>
              <w:rPr>
                <w:sz w:val="18"/>
              </w:rPr>
            </w:r>
            <w:r>
              <w:rPr>
                <w:sz w:val="18"/>
              </w:rPr>
              <w:t>Start a draft session</w:t>
            </w:r>
          </w:p>
        </w:tc>
      </w:tr>
      <w:tr>
        <w:tc>
          <w:tcPr>
            <w:tcW w:type="dxa" w:w="1152"/>
          </w:tcPr>
          <w:p>
            <w:r>
              <w:rPr>
                <w:sz w:val="18"/>
              </w:rPr>
            </w:r>
            <w:r>
              <w:rPr>
                <w:sz w:val="18"/>
              </w:rPr>
              <w:t>POST</w:t>
            </w:r>
          </w:p>
        </w:tc>
        <w:tc>
          <w:tcPr>
            <w:tcW w:type="dxa" w:w="4032"/>
          </w:tcPr>
          <w:p>
            <w:r>
              <w:rPr>
                <w:sz w:val="18"/>
              </w:rPr>
            </w:r>
            <w:r>
              <w:rPr>
                <w:rFonts w:ascii="Consolas" w:hAnsi="Consolas"/>
                <w:color w:val="6F5900"/>
                <w:sz w:val="18"/>
              </w:rPr>
              <w:t>/public/drafts</w:t>
            </w:r>
          </w:p>
        </w:tc>
        <w:tc>
          <w:tcPr>
            <w:tcW w:type="dxa" w:w="4032"/>
          </w:tcPr>
          <w:p>
            <w:r>
              <w:rPr>
                <w:sz w:val="18"/>
              </w:rPr>
            </w:r>
            <w:r>
              <w:rPr>
                <w:sz w:val="18"/>
              </w:rPr>
              <w:t>Request a verification email (uniform response)</w:t>
            </w:r>
          </w:p>
        </w:tc>
      </w:tr>
      <w:tr>
        <w:tc>
          <w:tcPr>
            <w:tcW w:type="dxa" w:w="1152"/>
          </w:tcPr>
          <w:p>
            <w:r>
              <w:rPr>
                <w:sz w:val="18"/>
              </w:rPr>
            </w:r>
            <w:r>
              <w:rPr>
                <w:sz w:val="18"/>
              </w:rPr>
              <w:t>POST</w:t>
            </w:r>
          </w:p>
        </w:tc>
        <w:tc>
          <w:tcPr>
            <w:tcW w:type="dxa" w:w="4032"/>
          </w:tcPr>
          <w:p>
            <w:r>
              <w:rPr>
                <w:sz w:val="18"/>
              </w:rPr>
            </w:r>
            <w:r>
              <w:rPr>
                <w:rFonts w:ascii="Consolas" w:hAnsi="Consolas"/>
                <w:color w:val="6F5900"/>
                <w:sz w:val="18"/>
              </w:rPr>
              <w:t>/public/verification/send</w:t>
            </w:r>
          </w:p>
        </w:tc>
        <w:tc>
          <w:tcPr>
            <w:tcW w:type="dxa" w:w="4032"/>
          </w:tcPr>
          <w:p>
            <w:r>
              <w:rPr>
                <w:sz w:val="18"/>
              </w:rPr>
            </w:r>
            <w:r>
              <w:rPr>
                <w:sz w:val="18"/>
              </w:rPr>
              <w:t>Consume a magic link</w:t>
            </w:r>
          </w:p>
        </w:tc>
      </w:tr>
      <w:tr>
        <w:tc>
          <w:tcPr>
            <w:tcW w:type="dxa" w:w="1152"/>
          </w:tcPr>
          <w:p>
            <w:r>
              <w:rPr>
                <w:sz w:val="18"/>
              </w:rPr>
            </w:r>
            <w:r>
              <w:rPr>
                <w:sz w:val="18"/>
              </w:rPr>
              <w:t>GET</w:t>
            </w:r>
          </w:p>
        </w:tc>
        <w:tc>
          <w:tcPr>
            <w:tcW w:type="dxa" w:w="4032"/>
          </w:tcPr>
          <w:p>
            <w:r>
              <w:rPr>
                <w:sz w:val="18"/>
              </w:rPr>
            </w:r>
            <w:r>
              <w:rPr>
                <w:rFonts w:ascii="Consolas" w:hAnsi="Consolas"/>
                <w:color w:val="6F5900"/>
                <w:sz w:val="18"/>
              </w:rPr>
              <w:t>/public/verification/consume</w:t>
            </w:r>
          </w:p>
        </w:tc>
        <w:tc>
          <w:tcPr>
            <w:tcW w:type="dxa" w:w="4032"/>
          </w:tcPr>
          <w:p>
            <w:r>
              <w:rPr>
                <w:sz w:val="18"/>
              </w:rPr>
            </w:r>
            <w:r>
              <w:rPr>
                <w:sz w:val="18"/>
              </w:rPr>
              <w:t>Poll whether this session is verified</w:t>
            </w:r>
          </w:p>
        </w:tc>
      </w:tr>
      <w:tr>
        <w:tc>
          <w:tcPr>
            <w:tcW w:type="dxa" w:w="1152"/>
          </w:tcPr>
          <w:p>
            <w:r>
              <w:rPr>
                <w:sz w:val="18"/>
              </w:rPr>
            </w:r>
            <w:r>
              <w:rPr>
                <w:sz w:val="18"/>
              </w:rPr>
              <w:t>GET</w:t>
            </w:r>
          </w:p>
        </w:tc>
        <w:tc>
          <w:tcPr>
            <w:tcW w:type="dxa" w:w="4032"/>
          </w:tcPr>
          <w:p>
            <w:r>
              <w:rPr>
                <w:sz w:val="18"/>
              </w:rPr>
            </w:r>
            <w:r>
              <w:rPr>
                <w:rFonts w:ascii="Consolas" w:hAnsi="Consolas"/>
                <w:color w:val="6F5900"/>
                <w:sz w:val="18"/>
              </w:rPr>
              <w:t>/public/drafts/:id/status</w:t>
            </w:r>
          </w:p>
        </w:tc>
        <w:tc>
          <w:tcPr>
            <w:tcW w:type="dxa" w:w="4032"/>
          </w:tcPr>
          <w:p>
            <w:r>
              <w:rPr>
                <w:sz w:val="18"/>
              </w:rPr>
            </w:r>
            <w:r>
              <w:rPr>
                <w:sz w:val="18"/>
              </w:rPr>
              <w:t>Submit a verified request</w:t>
            </w:r>
          </w:p>
        </w:tc>
      </w:tr>
    </w:tbl>
    <w:p/>
    <w:p>
      <w:pPr>
        <w:pStyle w:val="Heading2"/>
      </w:pPr>
      <w:r>
        <w:t>5.2 Internal endpoints</w:t>
      </w:r>
    </w:p>
    <w:tbl>
      <w:tblPr>
        <w:tblStyle w:val="LightGrid-Accent1"/>
        <w:tblW w:type="auto" w:w="0"/>
        <w:tblLook w:firstColumn="1" w:firstRow="1" w:lastColumn="0" w:lastRow="0" w:noHBand="0" w:noVBand="1" w:val="04A0"/>
      </w:tblPr>
      <w:tblGrid>
        <w:gridCol w:w="3216"/>
        <w:gridCol w:w="3216"/>
        <w:gridCol w:w="3216"/>
      </w:tblGrid>
      <w:tr>
        <w:tc>
          <w:tcPr>
            <w:tcW w:type="dxa" w:w="1152"/>
          </w:tcPr>
          <w:p>
            <w:r/>
            <w:r>
              <w:rPr>
                <w:b/>
                <w:sz w:val="18"/>
              </w:rPr>
              <w:t>Method</w:t>
            </w:r>
          </w:p>
        </w:tc>
        <w:tc>
          <w:tcPr>
            <w:tcW w:type="dxa" w:w="4608"/>
          </w:tcPr>
          <w:p>
            <w:r/>
            <w:r>
              <w:rPr>
                <w:b/>
                <w:sz w:val="18"/>
              </w:rPr>
              <w:t>Path</w:t>
            </w:r>
          </w:p>
        </w:tc>
        <w:tc>
          <w:tcPr>
            <w:tcW w:type="dxa" w:w="3456"/>
          </w:tcPr>
          <w:p>
            <w:r/>
            <w:r>
              <w:rPr>
                <w:b/>
                <w:sz w:val="18"/>
              </w:rPr>
              <w:t>Roles</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/internal/admin/users</w:t>
            </w:r>
          </w:p>
        </w:tc>
        <w:tc>
          <w:tcPr>
            <w:tcW w:type="dxa" w:w="3456"/>
          </w:tcPr>
          <w:p>
            <w:r>
              <w:rPr>
                <w:sz w:val="18"/>
              </w:rPr>
            </w:r>
            <w:r>
              <w:rPr>
                <w:sz w:val="18"/>
              </w:rPr>
              <w:t>admin, zone_manager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/internal/admin/users</w:t>
            </w:r>
          </w:p>
        </w:tc>
        <w:tc>
          <w:tcPr>
            <w:tcW w:type="dxa" w:w="3456"/>
          </w:tcPr>
          <w:p>
            <w:r>
              <w:rPr>
                <w:sz w:val="18"/>
              </w:rPr>
            </w:r>
            <w:r>
              <w:rPr>
                <w:sz w:val="18"/>
              </w:rPr>
              <w:t>admin, zone_manager</w:t>
            </w:r>
          </w:p>
        </w:tc>
      </w:tr>
      <w:tr>
        <w:tc>
          <w:tcPr>
            <w:tcW w:type="dxa" w:w="1152"/>
          </w:tcPr>
          <w:p>
            <w:r>
              <w:rPr>
                <w:sz w:val="18"/>
              </w:rPr>
            </w:r>
            <w:r>
              <w:rPr>
                <w:sz w:val="18"/>
              </w:rPr>
              <w:t>PATCH</w:t>
            </w:r>
          </w:p>
        </w:tc>
        <w:tc>
          <w:tcPr>
            <w:tcW w:type="dxa" w:w="4608"/>
          </w:tcPr>
          <w:p>
            <w:r>
              <w:rPr>
                <w:sz w:val="18"/>
              </w:rPr>
            </w:r>
            <w:r>
              <w:rPr>
                <w:rFonts w:ascii="Consolas" w:hAnsi="Consolas"/>
                <w:color w:val="6F5900"/>
                <w:sz w:val="18"/>
              </w:rPr>
              <w:t>/internal/admin/users/:id</w:t>
            </w:r>
          </w:p>
        </w:tc>
        <w:tc>
          <w:tcPr>
            <w:tcW w:type="dxa" w:w="3456"/>
          </w:tcPr>
          <w:p>
            <w:r>
              <w:rPr>
                <w:sz w:val="18"/>
              </w:rPr>
            </w:r>
            <w:r>
              <w:rPr>
                <w:sz w:val="18"/>
              </w:rPr>
              <w:t>admin, zone_manager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/internal/admin/assignment-config</w:t>
            </w:r>
          </w:p>
        </w:tc>
        <w:tc>
          <w:tcPr>
            <w:tcW w:type="dxa" w:w="3456"/>
          </w:tcPr>
          <w:p>
            <w:r>
              <w:rPr>
                <w:sz w:val="18"/>
              </w:rPr>
            </w:r>
            <w:r>
              <w:rPr>
                <w:sz w:val="18"/>
              </w:rPr>
              <w:t>admin, zone_manager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/internal/admin/users/:id/reset-password</w:t>
            </w:r>
          </w:p>
        </w:tc>
        <w:tc>
          <w:tcPr>
            <w:tcW w:type="dxa" w:w="3456"/>
          </w:tcPr>
          <w:p>
            <w:r>
              <w:rPr>
                <w:sz w:val="18"/>
              </w:rPr>
            </w:r>
            <w:r>
              <w:rPr>
                <w:sz w:val="18"/>
              </w:rPr>
              <w:t>super_admin</w:t>
            </w:r>
          </w:p>
        </w:tc>
      </w:tr>
      <w:tr>
        <w:tc>
          <w:tcPr>
            <w:tcW w:type="dxa" w:w="1152"/>
          </w:tcPr>
          <w:p>
            <w:r>
              <w:rPr>
                <w:sz w:val="18"/>
              </w:rPr>
            </w:r>
            <w:r>
              <w:rPr>
                <w:sz w:val="18"/>
              </w:rPr>
              <w:t>PATCH</w:t>
            </w:r>
          </w:p>
        </w:tc>
        <w:tc>
          <w:tcPr>
            <w:tcW w:type="dxa" w:w="4608"/>
          </w:tcPr>
          <w:p>
            <w:r>
              <w:rPr>
                <w:sz w:val="18"/>
              </w:rPr>
            </w:r>
            <w:r>
              <w:rPr>
                <w:rFonts w:ascii="Consolas" w:hAnsi="Consolas"/>
                <w:color w:val="6F5900"/>
                <w:sz w:val="18"/>
              </w:rPr>
              <w:t>/internal/admin/assignment-config/:zone</w:t>
            </w:r>
          </w:p>
        </w:tc>
        <w:tc>
          <w:tcPr>
            <w:tcW w:type="dxa" w:w="3456"/>
          </w:tcPr>
          <w:p>
            <w:r>
              <w:rPr>
                <w:sz w:val="18"/>
              </w:rPr>
            </w:r>
            <w:r>
              <w:rPr>
                <w:sz w:val="18"/>
              </w:rPr>
              <w:t>admin, zone_manager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/internal/admin/users/export.csv</w:t>
            </w:r>
          </w:p>
        </w:tc>
        <w:tc>
          <w:tcPr>
            <w:tcW w:type="dxa" w:w="3456"/>
          </w:tcPr>
          <w:p>
            <w:r>
              <w:rPr>
                <w:sz w:val="18"/>
              </w:rPr>
            </w:r>
            <w:r>
              <w:rPr>
                <w:sz w:val="18"/>
              </w:rPr>
              <w:t>admin, zone_manager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/internal/admin/audit-log/export.csv</w:t>
            </w:r>
          </w:p>
        </w:tc>
        <w:tc>
          <w:tcPr>
            <w:tcW w:type="dxa" w:w="3456"/>
          </w:tcPr>
          <w:p>
            <w:r>
              <w:rPr>
                <w:sz w:val="18"/>
              </w:rPr>
            </w:r>
            <w:r>
              <w:rPr>
                <w:sz w:val="18"/>
              </w:rPr>
              <w:t>admin, auditor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/internal/admin/audit-log</w:t>
            </w:r>
          </w:p>
        </w:tc>
        <w:tc>
          <w:tcPr>
            <w:tcW w:type="dxa" w:w="3456"/>
          </w:tcPr>
          <w:p>
            <w:r>
              <w:rPr>
                <w:sz w:val="18"/>
              </w:rPr>
            </w:r>
            <w:r>
              <w:rPr>
                <w:sz w:val="18"/>
              </w:rPr>
              <w:t>admin, auditor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/internal/auth/login</w:t>
            </w:r>
          </w:p>
        </w:tc>
        <w:tc>
          <w:tcPr>
            <w:tcW w:type="dxa" w:w="3456"/>
          </w:tcPr>
          <w:p>
            <w:r>
              <w:rPr>
                <w:sz w:val="18"/>
              </w:rPr>
            </w:r>
            <w:r>
              <w:rPr>
                <w:sz w:val="18"/>
              </w:rPr>
              <w:t>any signed-in</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/internal/auth/logout</w:t>
            </w:r>
          </w:p>
        </w:tc>
        <w:tc>
          <w:tcPr>
            <w:tcW w:type="dxa" w:w="3456"/>
          </w:tcPr>
          <w:p>
            <w:r>
              <w:rPr>
                <w:sz w:val="18"/>
              </w:rPr>
            </w:r>
            <w:r>
              <w:rPr>
                <w:sz w:val="18"/>
              </w:rPr>
              <w:t>any signed-in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/internal/auth/me</w:t>
            </w:r>
          </w:p>
        </w:tc>
        <w:tc>
          <w:tcPr>
            <w:tcW w:type="dxa" w:w="3456"/>
          </w:tcPr>
          <w:p>
            <w:r>
              <w:rPr>
                <w:sz w:val="18"/>
              </w:rPr>
            </w:r>
            <w:r>
              <w:rPr>
                <w:sz w:val="18"/>
              </w:rPr>
              <w:t>any signed-in</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/internal/auth/change-password</w:t>
            </w:r>
          </w:p>
        </w:tc>
        <w:tc>
          <w:tcPr>
            <w:tcW w:type="dxa" w:w="3456"/>
          </w:tcPr>
          <w:p>
            <w:r>
              <w:rPr>
                <w:sz w:val="18"/>
              </w:rPr>
            </w:r>
            <w:r>
              <w:rPr>
                <w:sz w:val="18"/>
              </w:rPr>
              <w:t>any signed-in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/internal/cases/:id/attachments</w:t>
            </w:r>
          </w:p>
        </w:tc>
        <w:tc>
          <w:tcPr>
            <w:tcW w:type="dxa" w:w="3456"/>
          </w:tcPr>
          <w:p>
            <w:r>
              <w:rPr>
                <w:sz w:val="18"/>
              </w:rPr>
            </w:r>
            <w:r>
              <w:rPr>
                <w:sz w:val="18"/>
              </w:rPr>
              <w:t>any signed-in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/internal/cases/:id/attachments/:attachmentId/download</w:t>
            </w:r>
          </w:p>
        </w:tc>
        <w:tc>
          <w:tcPr>
            <w:tcW w:type="dxa" w:w="3456"/>
          </w:tcPr>
          <w:p>
            <w:r>
              <w:rPr>
                <w:sz w:val="18"/>
              </w:rPr>
            </w:r>
            <w:r>
              <w:rPr>
                <w:sz w:val="18"/>
              </w:rPr>
              <w:t>any signed-in</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/internal/cases/:id/attachments</w:t>
            </w:r>
          </w:p>
        </w:tc>
        <w:tc>
          <w:tcPr>
            <w:tcW w:type="dxa" w:w="3456"/>
          </w:tcPr>
          <w:p>
            <w:r>
              <w:rPr>
                <w:sz w:val="18"/>
              </w:rPr>
            </w:r>
            <w:r>
              <w:rPr>
                <w:sz w:val="18"/>
              </w:rPr>
              <w:t>admin, zone_manager, approver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/internal/cases/:id/status</w:t>
            </w:r>
          </w:p>
        </w:tc>
        <w:tc>
          <w:tcPr>
            <w:tcW w:type="dxa" w:w="3456"/>
          </w:tcPr>
          <w:p>
            <w:r>
              <w:rPr>
                <w:sz w:val="18"/>
              </w:rPr>
            </w:r>
            <w:r>
              <w:rPr>
                <w:sz w:val="18"/>
              </w:rPr>
              <w:t>admin, zone_manager, approver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/internal/cases/:id/assign</w:t>
            </w:r>
          </w:p>
        </w:tc>
        <w:tc>
          <w:tcPr>
            <w:tcW w:type="dxa" w:w="3456"/>
          </w:tcPr>
          <w:p>
            <w:r>
              <w:rPr>
                <w:sz w:val="18"/>
              </w:rPr>
            </w:r>
            <w:r>
              <w:rPr>
                <w:sz w:val="18"/>
              </w:rPr>
              <w:t>admin, zone_manager, approver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/internal/cases/:id/sla/extend</w:t>
            </w:r>
          </w:p>
        </w:tc>
        <w:tc>
          <w:tcPr>
            <w:tcW w:type="dxa" w:w="3456"/>
          </w:tcPr>
          <w:p>
            <w:r>
              <w:rPr>
                <w:sz w:val="18"/>
              </w:rPr>
            </w:r>
            <w:r>
              <w:rPr>
                <w:sz w:val="18"/>
              </w:rPr>
              <w:t>admin, zone_manager, approver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/internal/cases/:id/sla/pause</w:t>
            </w:r>
          </w:p>
        </w:tc>
        <w:tc>
          <w:tcPr>
            <w:tcW w:type="dxa" w:w="3456"/>
          </w:tcPr>
          <w:p>
            <w:r>
              <w:rPr>
                <w:sz w:val="18"/>
              </w:rPr>
            </w:r>
            <w:r>
              <w:rPr>
                <w:sz w:val="18"/>
              </w:rPr>
              <w:t>admin, zone_manager, approver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/internal/cases/:id/sla/resume</w:t>
            </w:r>
          </w:p>
        </w:tc>
        <w:tc>
          <w:tcPr>
            <w:tcW w:type="dxa" w:w="3456"/>
          </w:tcPr>
          <w:p>
            <w:r>
              <w:rPr>
                <w:sz w:val="18"/>
              </w:rPr>
            </w:r>
            <w:r>
              <w:rPr>
                <w:sz w:val="18"/>
              </w:rPr>
              <w:t>admin, zone_manager, approver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/internal/sla/recompute</w:t>
            </w:r>
          </w:p>
        </w:tc>
        <w:tc>
          <w:tcPr>
            <w:tcW w:type="dxa" w:w="3456"/>
          </w:tcPr>
          <w:p>
            <w:r>
              <w:rPr>
                <w:sz w:val="18"/>
              </w:rPr>
            </w:r>
            <w:r>
              <w:rPr>
                <w:sz w:val="18"/>
              </w:rPr>
              <w:t>admin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/internal/templates</w:t>
            </w:r>
          </w:p>
        </w:tc>
        <w:tc>
          <w:tcPr>
            <w:tcW w:type="dxa" w:w="3456"/>
          </w:tcPr>
          <w:p>
            <w:r>
              <w:rPr>
                <w:sz w:val="18"/>
              </w:rPr>
            </w:r>
            <w:r>
              <w:rPr>
                <w:sz w:val="18"/>
              </w:rPr>
              <w:t>any signed-in</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/internal/templates</w:t>
            </w:r>
          </w:p>
        </w:tc>
        <w:tc>
          <w:tcPr>
            <w:tcW w:type="dxa" w:w="3456"/>
          </w:tcPr>
          <w:p>
            <w:r>
              <w:rPr>
                <w:sz w:val="18"/>
              </w:rPr>
            </w:r>
            <w:r>
              <w:rPr>
                <w:sz w:val="18"/>
              </w:rPr>
              <w:t>admin, zone_manager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/internal/cases/:id/draft-email</w:t>
            </w:r>
          </w:p>
        </w:tc>
        <w:tc>
          <w:tcPr>
            <w:tcW w:type="dxa" w:w="3456"/>
          </w:tcPr>
          <w:p>
            <w:r>
              <w:rPr>
                <w:sz w:val="18"/>
              </w:rPr>
            </w:r>
            <w:r>
              <w:rPr>
                <w:sz w:val="18"/>
              </w:rPr>
              <w:t>admin, zone_manager, approver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/internal/cases/:id/send-email</w:t>
            </w:r>
          </w:p>
        </w:tc>
        <w:tc>
          <w:tcPr>
            <w:tcW w:type="dxa" w:w="3456"/>
          </w:tcPr>
          <w:p>
            <w:r>
              <w:rPr>
                <w:sz w:val="18"/>
              </w:rPr>
            </w:r>
            <w:r>
              <w:rPr>
                <w:sz w:val="18"/>
              </w:rPr>
              <w:t>admin, zone_manager, approver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/internal/cases/:id/pending</w:t>
            </w:r>
          </w:p>
        </w:tc>
        <w:tc>
          <w:tcPr>
            <w:tcW w:type="dxa" w:w="3456"/>
          </w:tcPr>
          <w:p>
            <w:r>
              <w:rPr>
                <w:sz w:val="18"/>
              </w:rPr>
            </w:r>
            <w:r>
              <w:rPr>
                <w:sz w:val="18"/>
              </w:rPr>
              <w:t>admin, zone_manager, approver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/internal/dashboard</w:t>
            </w:r>
          </w:p>
        </w:tc>
        <w:tc>
          <w:tcPr>
            <w:tcW w:type="dxa" w:w="3456"/>
          </w:tcPr>
          <w:p>
            <w:r>
              <w:rPr>
                <w:sz w:val="18"/>
              </w:rPr>
            </w:r>
            <w:r>
              <w:rPr>
                <w:sz w:val="18"/>
              </w:rPr>
              <w:t>any signed-in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/internal/cases</w:t>
            </w:r>
          </w:p>
        </w:tc>
        <w:tc>
          <w:tcPr>
            <w:tcW w:type="dxa" w:w="3456"/>
          </w:tcPr>
          <w:p>
            <w:r>
              <w:rPr>
                <w:sz w:val="18"/>
              </w:rPr>
            </w:r>
            <w:r>
              <w:rPr>
                <w:sz w:val="18"/>
              </w:rPr>
              <w:t>any signed-in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/internal/cases/export.csv</w:t>
            </w:r>
          </w:p>
        </w:tc>
        <w:tc>
          <w:tcPr>
            <w:tcW w:type="dxa" w:w="3456"/>
          </w:tcPr>
          <w:p>
            <w:r>
              <w:rPr>
                <w:sz w:val="18"/>
              </w:rPr>
            </w:r>
            <w:r>
              <w:rPr>
                <w:sz w:val="18"/>
              </w:rPr>
              <w:t>any signed-in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/internal/cases/:id/export.pdf</w:t>
            </w:r>
          </w:p>
        </w:tc>
        <w:tc>
          <w:tcPr>
            <w:tcW w:type="dxa" w:w="3456"/>
          </w:tcPr>
          <w:p>
            <w:r>
              <w:rPr>
                <w:sz w:val="18"/>
              </w:rPr>
            </w:r>
            <w:r>
              <w:rPr>
                <w:sz w:val="18"/>
              </w:rPr>
              <w:t>any signed-in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/internal/cases/:id</w:t>
            </w:r>
          </w:p>
        </w:tc>
        <w:tc>
          <w:tcPr>
            <w:tcW w:type="dxa" w:w="3456"/>
          </w:tcPr>
          <w:p>
            <w:r>
              <w:rPr>
                <w:sz w:val="18"/>
              </w:rPr>
            </w:r>
            <w:r>
              <w:rPr>
                <w:sz w:val="18"/>
              </w:rPr>
              <w:t>any signed-in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/internal/reports</w:t>
            </w:r>
          </w:p>
        </w:tc>
        <w:tc>
          <w:tcPr>
            <w:tcW w:type="dxa" w:w="3456"/>
          </w:tcPr>
          <w:p>
            <w:r>
              <w:rPr>
                <w:sz w:val="18"/>
              </w:rPr>
            </w:r>
            <w:r>
              <w:rPr>
                <w:sz w:val="18"/>
              </w:rPr>
              <w:t>admin, zone_manager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/internal/reports/export.csv</w:t>
            </w:r>
          </w:p>
        </w:tc>
        <w:tc>
          <w:tcPr>
            <w:tcW w:type="dxa" w:w="3456"/>
          </w:tcPr>
          <w:p>
            <w:r>
              <w:rPr>
                <w:sz w:val="18"/>
              </w:rPr>
            </w:r>
            <w:r>
              <w:rPr>
                <w:sz w:val="18"/>
              </w:rPr>
              <w:t>admin, zone_manager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/internal/reports/export.pdf</w:t>
            </w:r>
          </w:p>
        </w:tc>
        <w:tc>
          <w:tcPr>
            <w:tcW w:type="dxa" w:w="3456"/>
          </w:tcPr>
          <w:p>
            <w:r>
              <w:rPr>
                <w:sz w:val="18"/>
              </w:rPr>
            </w:r>
            <w:r>
              <w:rPr>
                <w:sz w:val="18"/>
              </w:rPr>
              <w:t>admin, zone_manager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/internal/reports/send</w:t>
            </w:r>
          </w:p>
        </w:tc>
        <w:tc>
          <w:tcPr>
            <w:tcW w:type="dxa" w:w="3456"/>
          </w:tcPr>
          <w:p>
            <w:r>
              <w:rPr>
                <w:sz w:val="18"/>
              </w:rPr>
            </w:r>
            <w:r>
              <w:rPr>
                <w:sz w:val="18"/>
              </w:rPr>
              <w:t>admin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/internal/admin/system-templates</w:t>
            </w:r>
          </w:p>
        </w:tc>
        <w:tc>
          <w:tcPr>
            <w:tcW w:type="dxa" w:w="3456"/>
          </w:tcPr>
          <w:p>
            <w:r>
              <w:rPr>
                <w:sz w:val="18"/>
              </w:rPr>
            </w:r>
            <w:r>
              <w:rPr>
                <w:sz w:val="18"/>
              </w:rPr>
              <w:t>admin</w:t>
            </w:r>
          </w:p>
        </w:tc>
      </w:tr>
      <w:tr>
        <w:tc>
          <w:tcPr>
            <w:tcW w:type="dxa" w:w="1152"/>
          </w:tcPr>
          <w:p>
            <w:r>
              <w:rPr>
                <w:sz w:val="18"/>
              </w:rPr>
            </w:r>
            <w:r>
              <w:rPr>
                <w:sz w:val="18"/>
              </w:rPr>
              <w:t>PUT</w:t>
            </w:r>
          </w:p>
        </w:tc>
        <w:tc>
          <w:tcPr>
            <w:tcW w:type="dxa" w:w="4608"/>
          </w:tcPr>
          <w:p>
            <w:r>
              <w:rPr>
                <w:sz w:val="18"/>
              </w:rPr>
            </w:r>
            <w:r>
              <w:rPr>
                <w:rFonts w:ascii="Consolas" w:hAnsi="Consolas"/>
                <w:color w:val="6F5900"/>
                <w:sz w:val="18"/>
              </w:rPr>
              <w:t>/internal/admin/system-templates/:key</w:t>
            </w:r>
          </w:p>
        </w:tc>
        <w:tc>
          <w:tcPr>
            <w:tcW w:type="dxa" w:w="3456"/>
          </w:tcPr>
          <w:p>
            <w:r>
              <w:rPr>
                <w:sz w:val="18"/>
              </w:rPr>
            </w:r>
            <w:r>
              <w:rPr>
                <w:sz w:val="18"/>
              </w:rPr>
              <w:t>admin</w:t>
            </w:r>
          </w:p>
        </w:tc>
      </w:tr>
      <w:tr>
        <w:tc>
          <w:tcPr>
            <w:tcW w:type="dxa" w:w="1152"/>
          </w:tcPr>
          <w:p>
            <w:r>
              <w:rPr>
                <w:sz w:val="18"/>
              </w:rPr>
            </w:r>
            <w:r>
              <w:rPr>
                <w:sz w:val="18"/>
              </w:rPr>
              <w:t>DELETE</w:t>
            </w:r>
          </w:p>
        </w:tc>
        <w:tc>
          <w:tcPr>
            <w:tcW w:type="dxa" w:w="4608"/>
          </w:tcPr>
          <w:p>
            <w:r>
              <w:rPr>
                <w:sz w:val="18"/>
              </w:rPr>
            </w:r>
            <w:r>
              <w:rPr>
                <w:rFonts w:ascii="Consolas" w:hAnsi="Consolas"/>
                <w:color w:val="6F5900"/>
                <w:sz w:val="18"/>
              </w:rPr>
              <w:t>/internal/admin/system-templates/:key</w:t>
            </w:r>
          </w:p>
        </w:tc>
        <w:tc>
          <w:tcPr>
            <w:tcW w:type="dxa" w:w="3456"/>
          </w:tcPr>
          <w:p>
            <w:r>
              <w:rPr>
                <w:sz w:val="18"/>
              </w:rPr>
            </w:r>
            <w:r>
              <w:rPr>
                <w:sz w:val="18"/>
              </w:rPr>
              <w:t>admin</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/internal/admin/system-templates/:key/preview</w:t>
            </w:r>
          </w:p>
        </w:tc>
        <w:tc>
          <w:tcPr>
            <w:tcW w:type="dxa" w:w="3456"/>
          </w:tcPr>
          <w:p>
            <w:r>
              <w:rPr>
                <w:sz w:val="18"/>
              </w:rPr>
            </w:r>
            <w:r>
              <w:rPr>
                <w:sz w:val="18"/>
              </w:rPr>
              <w:t>admin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/internal/forms/palette</w:t>
            </w:r>
          </w:p>
        </w:tc>
        <w:tc>
          <w:tcPr>
            <w:tcW w:type="dxa" w:w="3456"/>
          </w:tcPr>
          <w:p>
            <w:r>
              <w:rPr>
                <w:sz w:val="18"/>
              </w:rPr>
            </w:r>
            <w:r>
              <w:rPr>
                <w:sz w:val="18"/>
              </w:rPr>
              <w:t>admin, zone_manager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/internal/forms</w:t>
            </w:r>
          </w:p>
        </w:tc>
        <w:tc>
          <w:tcPr>
            <w:tcW w:type="dxa" w:w="3456"/>
          </w:tcPr>
          <w:p>
            <w:r>
              <w:rPr>
                <w:sz w:val="18"/>
              </w:rPr>
            </w:r>
            <w:r>
              <w:rPr>
                <w:sz w:val="18"/>
              </w:rPr>
              <w:t>admin, zone_manager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/internal/forms/:key</w:t>
            </w:r>
          </w:p>
        </w:tc>
        <w:tc>
          <w:tcPr>
            <w:tcW w:type="dxa" w:w="3456"/>
          </w:tcPr>
          <w:p>
            <w:r>
              <w:rPr>
                <w:sz w:val="18"/>
              </w:rPr>
            </w:r>
            <w:r>
              <w:rPr>
                <w:sz w:val="18"/>
              </w:rPr>
              <w:t>admin, zone_manager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/internal/forms/:key/history</w:t>
            </w:r>
          </w:p>
        </w:tc>
        <w:tc>
          <w:tcPr>
            <w:tcW w:type="dxa" w:w="3456"/>
          </w:tcPr>
          <w:p>
            <w:r>
              <w:rPr>
                <w:sz w:val="18"/>
              </w:rPr>
            </w:r>
            <w:r>
              <w:rPr>
                <w:sz w:val="18"/>
              </w:rPr>
              <w:t>admin, zone_manager</w:t>
            </w:r>
          </w:p>
        </w:tc>
      </w:tr>
      <w:tr>
        <w:tc>
          <w:tcPr>
            <w:tcW w:type="dxa" w:w="1152"/>
          </w:tcPr>
          <w:p>
            <w:r>
              <w:rPr>
                <w:sz w:val="18"/>
              </w:rPr>
            </w:r>
            <w:r>
              <w:rPr>
                <w:sz w:val="18"/>
              </w:rPr>
              <w:t>PUT</w:t>
            </w:r>
          </w:p>
        </w:tc>
        <w:tc>
          <w:tcPr>
            <w:tcW w:type="dxa" w:w="4608"/>
          </w:tcPr>
          <w:p>
            <w:r>
              <w:rPr>
                <w:sz w:val="18"/>
              </w:rPr>
            </w:r>
            <w:r>
              <w:rPr>
                <w:rFonts w:ascii="Consolas" w:hAnsi="Consolas"/>
                <w:color w:val="6F5900"/>
                <w:sz w:val="18"/>
              </w:rPr>
              <w:t>/internal/forms/:key</w:t>
            </w:r>
          </w:p>
        </w:tc>
        <w:tc>
          <w:tcPr>
            <w:tcW w:type="dxa" w:w="3456"/>
          </w:tcPr>
          <w:p>
            <w:r>
              <w:rPr>
                <w:sz w:val="18"/>
              </w:rPr>
            </w:r>
            <w:r>
              <w:rPr>
                <w:sz w:val="18"/>
              </w:rPr>
              <w:t>admin, zone_manager</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/internal/forms/:key/restore/:version</w:t>
            </w:r>
          </w:p>
        </w:tc>
        <w:tc>
          <w:tcPr>
            <w:tcW w:type="dxa" w:w="3456"/>
          </w:tcPr>
          <w:p>
            <w:r>
              <w:rPr>
                <w:sz w:val="18"/>
              </w:rPr>
            </w:r>
            <w:r>
              <w:rPr>
                <w:sz w:val="18"/>
              </w:rPr>
              <w:t>admin, zone_manager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/internal/sla-policies</w:t>
            </w:r>
          </w:p>
        </w:tc>
        <w:tc>
          <w:tcPr>
            <w:tcW w:type="dxa" w:w="3456"/>
          </w:tcPr>
          <w:p>
            <w:r>
              <w:rPr>
                <w:sz w:val="18"/>
              </w:rPr>
            </w:r>
            <w:r>
              <w:rPr>
                <w:sz w:val="18"/>
              </w:rPr>
              <w:t>admin, zone_manager</w:t>
            </w:r>
          </w:p>
        </w:tc>
      </w:tr>
      <w:tr>
        <w:tc>
          <w:tcPr>
            <w:tcW w:type="dxa" w:w="1152"/>
          </w:tcPr>
          <w:p>
            <w:r>
              <w:rPr>
                <w:sz w:val="18"/>
              </w:rPr>
            </w:r>
            <w:r>
              <w:rPr>
                <w:sz w:val="18"/>
              </w:rPr>
              <w:t>PUT</w:t>
            </w:r>
          </w:p>
        </w:tc>
        <w:tc>
          <w:tcPr>
            <w:tcW w:type="dxa" w:w="4608"/>
          </w:tcPr>
          <w:p>
            <w:r>
              <w:rPr>
                <w:sz w:val="18"/>
              </w:rPr>
            </w:r>
            <w:r>
              <w:rPr>
                <w:rFonts w:ascii="Consolas" w:hAnsi="Consolas"/>
                <w:color w:val="6F5900"/>
                <w:sz w:val="18"/>
              </w:rPr>
              <w:t>/internal/sla-policies/:zone/:requestType</w:t>
            </w:r>
          </w:p>
        </w:tc>
        <w:tc>
          <w:tcPr>
            <w:tcW w:type="dxa" w:w="3456"/>
          </w:tcPr>
          <w:p>
            <w:r>
              <w:rPr>
                <w:sz w:val="18"/>
              </w:rPr>
            </w:r>
            <w:r>
              <w:rPr>
                <w:sz w:val="18"/>
              </w:rPr>
              <w:t>admin, zone_manager</w:t>
            </w:r>
          </w:p>
        </w:tc>
      </w:tr>
      <w:tr>
        <w:tc>
          <w:tcPr>
            <w:tcW w:type="dxa" w:w="1152"/>
          </w:tcPr>
          <w:p>
            <w:r>
              <w:rPr>
                <w:sz w:val="18"/>
              </w:rPr>
            </w:r>
            <w:r>
              <w:rPr>
                <w:sz w:val="18"/>
              </w:rPr>
              <w:t>DELETE</w:t>
            </w:r>
          </w:p>
        </w:tc>
        <w:tc>
          <w:tcPr>
            <w:tcW w:type="dxa" w:w="4608"/>
          </w:tcPr>
          <w:p>
            <w:r>
              <w:rPr>
                <w:sz w:val="18"/>
              </w:rPr>
            </w:r>
            <w:r>
              <w:rPr>
                <w:rFonts w:ascii="Consolas" w:hAnsi="Consolas"/>
                <w:color w:val="6F5900"/>
                <w:sz w:val="18"/>
              </w:rPr>
              <w:t>/internal/sla-policies/:zone/:requestType</w:t>
            </w:r>
          </w:p>
        </w:tc>
        <w:tc>
          <w:tcPr>
            <w:tcW w:type="dxa" w:w="3456"/>
          </w:tcPr>
          <w:p>
            <w:r>
              <w:rPr>
                <w:sz w:val="18"/>
              </w:rPr>
            </w:r>
            <w:r>
              <w:rPr>
                <w:sz w:val="18"/>
              </w:rPr>
              <w:t>admin, zone_manager</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/internal/admin/settings/email/gmail/callback</w:t>
            </w:r>
          </w:p>
        </w:tc>
        <w:tc>
          <w:tcPr>
            <w:tcW w:type="dxa" w:w="3456"/>
          </w:tcPr>
          <w:p>
            <w:r>
              <w:rPr>
                <w:sz w:val="18"/>
              </w:rPr>
            </w:r>
            <w:r>
              <w:rPr>
                <w:sz w:val="18"/>
              </w:rPr>
              <w:t>any signed-in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/internal/admin/settings</w:t>
            </w:r>
          </w:p>
        </w:tc>
        <w:tc>
          <w:tcPr>
            <w:tcW w:type="dxa" w:w="3456"/>
          </w:tcPr>
          <w:p>
            <w:r>
              <w:rPr>
                <w:sz w:val="18"/>
              </w:rPr>
            </w:r>
            <w:r>
              <w:rPr>
                <w:sz w:val="18"/>
              </w:rPr>
              <w:t>super_admin</w:t>
            </w:r>
          </w:p>
        </w:tc>
      </w:tr>
      <w:tr>
        <w:tc>
          <w:tcPr>
            <w:tcW w:type="dxa" w:w="1152"/>
          </w:tcPr>
          <w:p>
            <w:r>
              <w:rPr>
                <w:sz w:val="18"/>
              </w:rPr>
            </w:r>
            <w:r>
              <w:rPr>
                <w:sz w:val="18"/>
              </w:rPr>
              <w:t>PUT</w:t>
            </w:r>
          </w:p>
        </w:tc>
        <w:tc>
          <w:tcPr>
            <w:tcW w:type="dxa" w:w="4608"/>
          </w:tcPr>
          <w:p>
            <w:r>
              <w:rPr>
                <w:sz w:val="18"/>
              </w:rPr>
            </w:r>
            <w:r>
              <w:rPr>
                <w:rFonts w:ascii="Consolas" w:hAnsi="Consolas"/>
                <w:color w:val="6F5900"/>
                <w:sz w:val="18"/>
              </w:rPr>
              <w:t>/internal/admin/settings</w:t>
            </w:r>
          </w:p>
        </w:tc>
        <w:tc>
          <w:tcPr>
            <w:tcW w:type="dxa" w:w="3456"/>
          </w:tcPr>
          <w:p>
            <w:r>
              <w:rPr>
                <w:sz w:val="18"/>
              </w:rPr>
            </w:r>
            <w:r>
              <w:rPr>
                <w:sz w:val="18"/>
              </w:rPr>
              <w:t>super_admin</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/internal/admin/settings/email/verify</w:t>
            </w:r>
          </w:p>
        </w:tc>
        <w:tc>
          <w:tcPr>
            <w:tcW w:type="dxa" w:w="3456"/>
          </w:tcPr>
          <w:p>
            <w:r>
              <w:rPr>
                <w:sz w:val="18"/>
              </w:rPr>
            </w:r>
            <w:r>
              <w:rPr>
                <w:sz w:val="18"/>
              </w:rPr>
              <w:t>super_admin</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/internal/admin/settings/email/diagnose</w:t>
            </w:r>
          </w:p>
        </w:tc>
        <w:tc>
          <w:tcPr>
            <w:tcW w:type="dxa" w:w="3456"/>
          </w:tcPr>
          <w:p>
            <w:r>
              <w:rPr>
                <w:sz w:val="18"/>
              </w:rPr>
            </w:r>
            <w:r>
              <w:rPr>
                <w:sz w:val="18"/>
              </w:rPr>
              <w:t>super_admin</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/internal/admin/settings/email/gmail/authorize</w:t>
            </w:r>
          </w:p>
        </w:tc>
        <w:tc>
          <w:tcPr>
            <w:tcW w:type="dxa" w:w="3456"/>
          </w:tcPr>
          <w:p>
            <w:r>
              <w:rPr>
                <w:sz w:val="18"/>
              </w:rPr>
            </w:r>
            <w:r>
              <w:rPr>
                <w:sz w:val="18"/>
              </w:rPr>
              <w:t>super_admin</w:t>
            </w:r>
          </w:p>
        </w:tc>
      </w:tr>
      <w:tr>
        <w:tc>
          <w:tcPr>
            <w:tcW w:type="dxa" w:w="1152"/>
          </w:tcPr>
          <w:p>
            <w:r>
              <w:rPr>
                <w:sz w:val="18"/>
              </w:rPr>
            </w:r>
            <w:r>
              <w:rPr>
                <w:sz w:val="18"/>
              </w:rPr>
              <w:t>GET</w:t>
            </w:r>
          </w:p>
        </w:tc>
        <w:tc>
          <w:tcPr>
            <w:tcW w:type="dxa" w:w="4608"/>
          </w:tcPr>
          <w:p>
            <w:r>
              <w:rPr>
                <w:sz w:val="18"/>
              </w:rPr>
            </w:r>
            <w:r>
              <w:rPr>
                <w:rFonts w:ascii="Consolas" w:hAnsi="Consolas"/>
                <w:color w:val="6F5900"/>
                <w:sz w:val="18"/>
              </w:rPr>
              <w:t>/internal/admin/settings/email/gmail/redirect-uri</w:t>
            </w:r>
          </w:p>
        </w:tc>
        <w:tc>
          <w:tcPr>
            <w:tcW w:type="dxa" w:w="3456"/>
          </w:tcPr>
          <w:p>
            <w:r>
              <w:rPr>
                <w:sz w:val="18"/>
              </w:rPr>
            </w:r>
            <w:r>
              <w:rPr>
                <w:sz w:val="18"/>
              </w:rPr>
              <w:t>super_admin</w:t>
            </w:r>
          </w:p>
        </w:tc>
      </w:tr>
      <w:tr>
        <w:tc>
          <w:tcPr>
            <w:tcW w:type="dxa" w:w="1152"/>
          </w:tcPr>
          <w:p>
            <w:r>
              <w:rPr>
                <w:sz w:val="18"/>
              </w:rPr>
            </w:r>
            <w:r>
              <w:rPr>
                <w:sz w:val="18"/>
              </w:rPr>
              <w:t>POST</w:t>
            </w:r>
          </w:p>
        </w:tc>
        <w:tc>
          <w:tcPr>
            <w:tcW w:type="dxa" w:w="4608"/>
          </w:tcPr>
          <w:p>
            <w:r>
              <w:rPr>
                <w:sz w:val="18"/>
              </w:rPr>
            </w:r>
            <w:r>
              <w:rPr>
                <w:rFonts w:ascii="Consolas" w:hAnsi="Consolas"/>
                <w:color w:val="6F5900"/>
                <w:sz w:val="18"/>
              </w:rPr>
              <w:t>/internal/admin/settings/email/test-send</w:t>
            </w:r>
          </w:p>
        </w:tc>
        <w:tc>
          <w:tcPr>
            <w:tcW w:type="dxa" w:w="3456"/>
          </w:tcPr>
          <w:p>
            <w:r>
              <w:rPr>
                <w:sz w:val="18"/>
              </w:rPr>
            </w:r>
            <w:r>
              <w:rPr>
                <w:sz w:val="18"/>
              </w:rPr>
              <w:t>super_admin</w:t>
            </w:r>
          </w:p>
        </w:tc>
      </w:tr>
    </w:tbl>
    <w:p/>
    <w:p>
      <w:r>
        <w:br w:type="page"/>
      </w:r>
    </w:p>
    <w:p>
      <w:pPr>
        <w:pStyle w:val="Heading1"/>
      </w:pPr>
      <w:r>
        <w:t>6. Front-end notes</w:t>
      </w:r>
    </w:p>
    <w:p>
      <w:pPr>
        <w:pStyle w:val="Heading2"/>
      </w:pPr>
      <w:r>
        <w:t>6.1 Theming</w:t>
      </w:r>
    </w:p>
    <w:p>
      <w:r>
        <w:rPr>
          <w:b w:val="0"/>
        </w:rPr>
        <w:t>Tailwind v4 `@theme` maps each `--color-*` utility onto a `--t-*` variable that is redefined per theme. Utilities such as `bg-surface` therefore follow the active theme with no `dark:` variants anywhere in the components.</w:t>
      </w:r>
    </w:p>
    <w:p>
      <w:pPr>
        <w:pStyle w:val="CodeBlock"/>
      </w:pPr>
      <w:r>
        <w:t>@custom-variant dark (&amp;:where([data-theme="dark"], [data-theme="dark"] *));</w:t>
      </w:r>
    </w:p>
    <w:p>
      <w:pPr>
        <w:pStyle w:val="CodeBlock"/>
      </w:pPr>
      <w:r>
        <w:t xml:space="preserve"> </w:t>
      </w:r>
    </w:p>
    <w:p>
      <w:pPr>
        <w:pStyle w:val="CodeBlock"/>
      </w:pPr>
      <w:r>
        <w:t>@theme { --color-surface: var(--t-surface); }</w:t>
      </w:r>
    </w:p>
    <w:p>
      <w:pPr>
        <w:pStyle w:val="CodeBlock"/>
      </w:pPr>
      <w:r>
        <w:t>:root            { --t-surface: #ffffff; }</w:t>
      </w:r>
    </w:p>
    <w:p>
      <w:pPr>
        <w:pStyle w:val="CodeBlock"/>
      </w:pPr>
      <w:r>
        <w:t>[data-theme=dark]{ --t-surface: #0d0d0d; }</w:t>
      </w:r>
    </w:p>
    <w:p>
      <w:r>
        <w:rPr>
          <w:b w:val="0"/>
        </w:rPr>
        <w:t>A blocking inline script in `index.html` stamps `data-theme` before React mounts, which is what prevents a flash of the wrong palette.</w:t>
      </w:r>
    </w:p>
    <w:p>
      <w:pPr>
        <w:pStyle w:val="Heading2"/>
      </w:pPr>
      <w:r>
        <w:t>6.2 The form builder</w:t>
      </w:r>
    </w:p>
    <w:p>
      <w:pPr>
        <w:jc w:val="center"/>
      </w:pPr>
      <w:r>
        <w:drawing>
          <wp:inline xmlns:a="http://schemas.openxmlformats.org/drawingml/2006/main" xmlns:pic="http://schemas.openxmlformats.org/drawingml/2006/picture">
            <wp:extent cx="5852160" cy="6266688"/>
            <wp:docPr id="1" name="Picture 1"/>
            <wp:cNvGraphicFramePr>
              <a:graphicFrameLocks noChangeAspect="1"/>
            </wp:cNvGraphicFramePr>
            <a:graphic>
              <a:graphicData uri="http://schemas.openxmlformats.org/drawingml/2006/picture">
                <pic:pic>
                  <pic:nvPicPr>
                    <pic:cNvPr id="0" name="form-editor-dark.png"/>
                    <pic:cNvPicPr/>
                  </pic:nvPicPr>
                  <pic:blipFill>
                    <a:blip r:embed="rId9"/>
                    <a:stretch>
                      <a:fillRect/>
                    </a:stretch>
                  </pic:blipFill>
                  <pic:spPr>
                    <a:xfrm>
                      <a:off x="0" y="0"/>
                      <a:ext cx="5852160" cy="6266688"/>
                    </a:xfrm>
                    <a:prstGeom prst="rect"/>
                  </pic:spPr>
                </pic:pic>
              </a:graphicData>
            </a:graphic>
          </wp:inline>
        </w:drawing>
      </w:r>
    </w:p>
    <w:p>
      <w:pPr>
        <w:pStyle w:val="Caption2"/>
        <w:jc w:val="center"/>
      </w:pPr>
      <w:r>
        <w:t>The builder in dark appearance</w:t>
      </w:r>
    </w:p>
    <w:p>
      <w:pPr>
        <w:pStyle w:val="ListBullet"/>
      </w:pPr>
      <w:r>
        <w:rPr>
          <w:rFonts w:ascii="Consolas" w:hAnsi="Consolas"/>
          <w:color w:val="6F5900"/>
          <w:sz w:val="18"/>
        </w:rPr>
        <w:t>formTree.ts</w:t>
      </w:r>
      <w:r>
        <w:t xml:space="preserve"> holds pure functions over the component tree. Every node is addressed by a </w:t>
      </w:r>
      <w:r>
        <w:rPr>
          <w:b/>
        </w:rPr>
        <w:t>path</w:t>
      </w:r>
      <w:r>
        <w:t xml:space="preserve"> of segments, because components nest through both </w:t>
      </w:r>
      <w:r>
        <w:rPr>
          <w:rFonts w:ascii="Consolas" w:hAnsi="Consolas"/>
          <w:color w:val="6F5900"/>
          <w:sz w:val="18"/>
        </w:rPr>
        <w:t>components</w:t>
      </w:r>
      <w:r>
        <w:t xml:space="preserve"> and </w:t>
      </w:r>
      <w:r>
        <w:rPr>
          <w:rFonts w:ascii="Consolas" w:hAnsi="Consolas"/>
          <w:color w:val="6F5900"/>
          <w:sz w:val="18"/>
        </w:rPr>
        <w:t>columns[].components</w:t>
      </w:r>
      <w:r>
        <w:t>.</w:t>
      </w:r>
    </w:p>
    <w:p>
      <w:pPr>
        <w:pStyle w:val="ListBullet"/>
      </w:pPr>
      <w:r>
        <w:t>All mutations clone before editing, so React state updates stay predictable.</w:t>
      </w:r>
    </w:p>
    <w:p>
      <w:pPr>
        <w:pStyle w:val="ListBullet"/>
      </w:pPr>
      <w:r>
        <w:t>Field keys are made unique on insert; the server validates uniqueness again on publish.</w:t>
      </w:r>
    </w:p>
    <w:p>
      <w:pPr>
        <w:pStyle w:val="ListBullet"/>
      </w:pPr>
      <w:r>
        <w:t>The palette comes from the API, so the builder can never offer a type the renderer cannot draw.</w:t>
      </w:r>
    </w:p>
    <w:p>
      <w:pPr>
        <w:pStyle w:val="Heading2"/>
      </w:pPr>
      <w:r>
        <w:t>6.3 Fidelity of the public replica</w:t>
      </w:r>
    </w:p>
    <w:p>
      <w:pPr>
        <w:pStyle w:val="ListBullet"/>
      </w:pPr>
      <w:r>
        <w:t>The renderer emits the source platform's own class names, so its vendored stylesheets apply unchanged.</w:t>
      </w:r>
    </w:p>
    <w:p>
      <w:pPr>
        <w:pStyle w:val="ListBullet"/>
      </w:pPr>
      <w:r>
        <w:t xml:space="preserve">Hidden components stay mounted with </w:t>
      </w:r>
      <w:r>
        <w:rPr>
          <w:rFonts w:ascii="Consolas" w:hAnsi="Consolas"/>
          <w:color w:val="6F5900"/>
          <w:sz w:val="18"/>
        </w:rPr>
        <w:t>visibility:hidden;position:absolute</w:t>
      </w:r>
      <w:r>
        <w:t>, matching the original DOM.</w:t>
      </w:r>
    </w:p>
    <w:p>
      <w:pPr>
        <w:pStyle w:val="ListBullet"/>
      </w:pPr>
      <w:r>
        <w:t xml:space="preserve">Tailwind's preflight is neutralised inside </w:t>
      </w:r>
      <w:r>
        <w:rPr>
          <w:rFonts w:ascii="Consolas" w:hAnsi="Consolas"/>
          <w:color w:val="6F5900"/>
          <w:sz w:val="18"/>
        </w:rPr>
        <w:t>.c-dsp-form-page</w:t>
      </w:r>
      <w:r>
        <w:t xml:space="preserve">, and Tailwind's </w:t>
      </w:r>
      <w:r>
        <w:rPr>
          <w:rFonts w:ascii="Consolas" w:hAnsi="Consolas"/>
          <w:color w:val="6F5900"/>
          <w:sz w:val="18"/>
        </w:rPr>
        <w:t>.flex</w:t>
      </w:r>
      <w:r>
        <w:t xml:space="preserve"> is overridden there because it collides with the vendored grid class of the same name.</w:t>
      </w:r>
    </w:p>
    <w:p>
      <w:pPr>
        <w:pStyle w:val="ListBullet"/>
      </w:pPr>
      <w:r>
        <w:rPr>
          <w:rFonts w:ascii="Consolas" w:hAnsi="Consolas"/>
          <w:color w:val="6F5900"/>
          <w:sz w:val="18"/>
        </w:rPr>
        <w:t>tools/capture.mjs</w:t>
      </w:r>
      <w:r>
        <w:t xml:space="preserve"> and </w:t>
      </w:r>
      <w:r>
        <w:rPr>
          <w:rFonts w:ascii="Consolas" w:hAnsi="Consolas"/>
          <w:color w:val="6F5900"/>
          <w:sz w:val="18"/>
        </w:rPr>
        <w:t>tools/compare.mjs</w:t>
      </w:r>
      <w:r>
        <w:t xml:space="preserve"> screenshot the live original and the replica for side-by-side comparison.</w:t>
      </w:r>
    </w:p>
    <w:p>
      <w:r>
        <w:br w:type="page"/>
      </w:r>
    </w:p>
    <w:p>
      <w:pPr>
        <w:pStyle w:val="Heading1"/>
      </w:pPr>
      <w:r>
        <w:t>7. Build, test and deploy</w:t>
      </w:r>
    </w:p>
    <w:p>
      <w:pPr>
        <w:pStyle w:val="Heading2"/>
      </w:pPr>
      <w:r>
        <w:t>7.1 Local development</w:t>
      </w:r>
    </w:p>
    <w:p>
      <w:pPr>
        <w:pStyle w:val="CodeBlock"/>
      </w:pPr>
      <w:r>
        <w:t>cd server &amp;&amp; node scripts/dev-db.mjs         # embedded PostgreSQL on :5433</w:t>
      </w:r>
    </w:p>
    <w:p>
      <w:pPr>
        <w:pStyle w:val="CodeBlock"/>
      </w:pPr>
      <w:r>
        <w:t>DATABASE_URL=postgres://dsr:dsr@127.0.0.1:5433/dsr node scripts/migrate.mjs</w:t>
      </w:r>
    </w:p>
    <w:p>
      <w:pPr>
        <w:pStyle w:val="CodeBlock"/>
      </w:pPr>
      <w:r>
        <w:t>node scripts/import-forms.mjs                # seed the 12 form schemas</w:t>
      </w:r>
    </w:p>
    <w:p>
      <w:pPr>
        <w:pStyle w:val="CodeBlock"/>
      </w:pPr>
      <w:r>
        <w:t>node scripts/seed-templates.mjs              # seed the template library</w:t>
      </w:r>
    </w:p>
    <w:p>
      <w:pPr>
        <w:pStyle w:val="CodeBlock"/>
      </w:pPr>
      <w:r>
        <w:t>node scripts/create-user.mjs you@co.com "You" super_admin "" "AStrongPassw0rd!"</w:t>
      </w:r>
    </w:p>
    <w:p>
      <w:pPr>
        <w:pStyle w:val="CodeBlock"/>
      </w:pPr>
      <w:r>
        <w:t xml:space="preserve"> </w:t>
      </w:r>
    </w:p>
    <w:p>
      <w:pPr>
        <w:pStyle w:val="CodeBlock"/>
      </w:pPr>
      <w:r>
        <w:t>npm run build &amp;&amp; EMAIL_PROVIDER=console node dist/main.js</w:t>
      </w:r>
    </w:p>
    <w:p>
      <w:pPr>
        <w:pStyle w:val="CodeBlock"/>
      </w:pPr>
      <w:r>
        <w:t xml:space="preserve"> </w:t>
      </w:r>
    </w:p>
    <w:p>
      <w:pPr>
        <w:pStyle w:val="CodeBlock"/>
      </w:pPr>
      <w:r>
        <w:t>cd apps/public-form &amp;&amp; npm run dev           # :5180</w:t>
      </w:r>
    </w:p>
    <w:p>
      <w:pPr>
        <w:pStyle w:val="CodeBlock"/>
      </w:pPr>
      <w:r>
        <w:t>cd apps/admin       &amp;&amp; npm run dev           # :5181</w:t>
      </w:r>
    </w:p>
    <w:p>
      <w:pPr>
        <w:pStyle w:val="Heading2"/>
      </w:pPr>
      <w:r>
        <w:t>7.2 Test suites</w:t>
      </w:r>
    </w:p>
    <w:tbl>
      <w:tblPr>
        <w:tblStyle w:val="LightGrid-Accent1"/>
        <w:tblW w:type="auto" w:w="0"/>
        <w:tblLook w:firstColumn="1" w:firstRow="1" w:lastColumn="0" w:lastRow="0" w:noHBand="0" w:noVBand="1" w:val="04A0"/>
      </w:tblPr>
      <w:tblGrid>
        <w:gridCol w:w="4824"/>
        <w:gridCol w:w="4824"/>
      </w:tblGrid>
      <w:tr>
        <w:tc>
          <w:tcPr>
            <w:tcW w:type="dxa" w:w="3312"/>
          </w:tcPr>
          <w:p>
            <w:r/>
            <w:r>
              <w:rPr>
                <w:b/>
                <w:sz w:val="18"/>
              </w:rPr>
              <w:t>Command</w:t>
            </w:r>
          </w:p>
        </w:tc>
        <w:tc>
          <w:tcPr>
            <w:tcW w:type="dxa" w:w="5904"/>
          </w:tcPr>
          <w:p>
            <w:r/>
            <w:r>
              <w:rPr>
                <w:b/>
                <w:sz w:val="18"/>
              </w:rPr>
              <w:t>Covers</w:t>
            </w:r>
          </w:p>
        </w:tc>
      </w:tr>
      <w:tr>
        <w:tc>
          <w:tcPr>
            <w:tcW w:type="dxa" w:w="3312"/>
          </w:tcPr>
          <w:p>
            <w:r>
              <w:rPr>
                <w:sz w:val="18"/>
              </w:rPr>
            </w:r>
            <w:r>
              <w:rPr>
                <w:rFonts w:ascii="Consolas" w:hAnsi="Consolas"/>
                <w:color w:val="6F5900"/>
                <w:sz w:val="18"/>
              </w:rPr>
              <w:t>node scripts/rls-check.mjs</w:t>
            </w:r>
          </w:p>
        </w:tc>
        <w:tc>
          <w:tcPr>
            <w:tcW w:type="dxa" w:w="5904"/>
          </w:tcPr>
          <w:p>
            <w:r>
              <w:rPr>
                <w:sz w:val="18"/>
              </w:rPr>
            </w:r>
            <w:r>
              <w:rPr>
                <w:sz w:val="18"/>
              </w:rPr>
              <w:t>Cross-zone IDOR at the database layer, fail-closed context, append-only audit</w:t>
            </w:r>
          </w:p>
        </w:tc>
      </w:tr>
      <w:tr>
        <w:tc>
          <w:tcPr>
            <w:tcW w:type="dxa" w:w="3312"/>
          </w:tcPr>
          <w:p>
            <w:r>
              <w:rPr>
                <w:sz w:val="18"/>
              </w:rPr>
            </w:r>
            <w:r>
              <w:rPr>
                <w:rFonts w:ascii="Consolas" w:hAnsi="Consolas"/>
                <w:color w:val="6F5900"/>
                <w:sz w:val="18"/>
              </w:rPr>
              <w:t>node scripts/e2e-intake.mjs</w:t>
            </w:r>
          </w:p>
        </w:tc>
        <w:tc>
          <w:tcPr>
            <w:tcW w:type="dxa" w:w="5904"/>
          </w:tcPr>
          <w:p>
            <w:r>
              <w:rPr>
                <w:sz w:val="18"/>
              </w:rPr>
            </w:r>
            <w:r>
              <w:rPr>
                <w:sz w:val="18"/>
              </w:rPr>
              <w:t>The whole verification flow, replay, uniform responses, rate limits, encryption at rest</w:t>
            </w:r>
          </w:p>
        </w:tc>
      </w:tr>
      <w:tr>
        <w:tc>
          <w:tcPr>
            <w:tcW w:type="dxa" w:w="3312"/>
          </w:tcPr>
          <w:p>
            <w:r>
              <w:rPr>
                <w:sz w:val="18"/>
              </w:rPr>
            </w:r>
            <w:r>
              <w:rPr>
                <w:rFonts w:ascii="Consolas" w:hAnsi="Consolas"/>
                <w:color w:val="6F5900"/>
                <w:sz w:val="18"/>
              </w:rPr>
              <w:t>node scripts/e2e-auth.mjs</w:t>
            </w:r>
          </w:p>
        </w:tc>
        <w:tc>
          <w:tcPr>
            <w:tcW w:type="dxa" w:w="5904"/>
          </w:tcPr>
          <w:p>
            <w:r>
              <w:rPr>
                <w:sz w:val="18"/>
              </w:rPr>
            </w:r>
            <w:r>
              <w:rPr>
                <w:sz w:val="18"/>
              </w:rPr>
              <w:t>Sign in, session revocation, RBAC, cross-zone IDOR through the API</w:t>
            </w:r>
          </w:p>
        </w:tc>
      </w:tr>
      <w:tr>
        <w:tc>
          <w:tcPr>
            <w:tcW w:type="dxa" w:w="3312"/>
          </w:tcPr>
          <w:p>
            <w:r>
              <w:rPr>
                <w:sz w:val="18"/>
              </w:rPr>
            </w:r>
            <w:r>
              <w:rPr>
                <w:rFonts w:ascii="Consolas" w:hAnsi="Consolas"/>
                <w:color w:val="6F5900"/>
                <w:sz w:val="18"/>
              </w:rPr>
              <w:t>node scripts/e2e-workflow.mjs</w:t>
            </w:r>
          </w:p>
        </w:tc>
        <w:tc>
          <w:tcPr>
            <w:tcW w:type="dxa" w:w="5904"/>
          </w:tcPr>
          <w:p>
            <w:r>
              <w:rPr>
                <w:sz w:val="18"/>
              </w:rPr>
            </w:r>
            <w:r>
              <w:rPr>
                <w:sz w:val="18"/>
              </w:rPr>
              <w:t>Transition matrix, system-only Overdue, extension and closure rules, SLA breach sweep</w:t>
            </w:r>
          </w:p>
        </w:tc>
      </w:tr>
      <w:tr>
        <w:tc>
          <w:tcPr>
            <w:tcW w:type="dxa" w:w="3312"/>
          </w:tcPr>
          <w:p>
            <w:r>
              <w:rPr>
                <w:sz w:val="18"/>
              </w:rPr>
            </w:r>
            <w:r>
              <w:rPr>
                <w:rFonts w:ascii="Consolas" w:hAnsi="Consolas"/>
                <w:color w:val="6F5900"/>
                <w:sz w:val="18"/>
              </w:rPr>
              <w:t>node scripts/e2e-settings.mjs</w:t>
            </w:r>
          </w:p>
        </w:tc>
        <w:tc>
          <w:tcPr>
            <w:tcW w:type="dxa" w:w="5904"/>
          </w:tcPr>
          <w:p>
            <w:r>
              <w:rPr>
                <w:sz w:val="18"/>
              </w:rPr>
            </w:r>
            <w:r>
              <w:rPr>
                <w:sz w:val="18"/>
              </w:rPr>
              <w:t>Settings round trip, secret masking, validation, provider hot-swap, diagnostics</w:t>
            </w:r>
          </w:p>
        </w:tc>
      </w:tr>
      <w:tr>
        <w:tc>
          <w:tcPr>
            <w:tcW w:type="dxa" w:w="3312"/>
          </w:tcPr>
          <w:p>
            <w:r>
              <w:rPr>
                <w:sz w:val="18"/>
              </w:rPr>
            </w:r>
            <w:r>
              <w:rPr>
                <w:rFonts w:ascii="Consolas" w:hAnsi="Consolas"/>
                <w:color w:val="6F5900"/>
                <w:sz w:val="18"/>
              </w:rPr>
              <w:t>npx jest</w:t>
            </w:r>
          </w:p>
        </w:tc>
        <w:tc>
          <w:tcPr>
            <w:tcW w:type="dxa" w:w="5904"/>
          </w:tcPr>
          <w:p>
            <w:r>
              <w:rPr>
                <w:sz w:val="18"/>
              </w:rPr>
            </w:r>
            <w:r>
              <w:rPr>
                <w:sz w:val="18"/>
              </w:rPr>
              <w:t>Template rendering and the role ladder</w:t>
            </w:r>
          </w:p>
        </w:tc>
      </w:tr>
      <w:tr>
        <w:tc>
          <w:tcPr>
            <w:tcW w:type="dxa" w:w="3312"/>
          </w:tcPr>
          <w:p>
            <w:r>
              <w:rPr>
                <w:sz w:val="18"/>
              </w:rPr>
            </w:r>
            <w:r>
              <w:rPr>
                <w:rFonts w:ascii="Consolas" w:hAnsi="Consolas"/>
                <w:color w:val="6F5900"/>
                <w:sz w:val="18"/>
              </w:rPr>
              <w:t>node deploy/smoke.mjs</w:t>
            </w:r>
          </w:p>
        </w:tc>
        <w:tc>
          <w:tcPr>
            <w:tcW w:type="dxa" w:w="5904"/>
          </w:tcPr>
          <w:p>
            <w:r>
              <w:rPr>
                <w:sz w:val="18"/>
              </w:rPr>
            </w:r>
            <w:r>
              <w:rPr>
                <w:sz w:val="18"/>
              </w:rPr>
              <w:t>Production smoke: headers, auth, settings, public surface</w:t>
            </w:r>
          </w:p>
        </w:tc>
      </w:tr>
    </w:tbl>
    <w:p/>
    <w:tbl>
      <w:tblPr>
        <w:tblW w:type="auto" w:w="0"/>
        <w:jc w:val="center"/>
        <w:tblLook w:firstColumn="1" w:firstRow="1" w:lastColumn="0" w:lastRow="0" w:noHBand="0" w:noVBand="1" w:val="04A0"/>
      </w:tblPr>
      <w:tblGrid>
        <w:gridCol w:w="9648"/>
      </w:tblGrid>
      <w:tr>
        <w:tc>
          <w:tcPr>
            <w:tcW w:type="dxa" w:w="9648"/>
            <w:shd w:fill="EEF0FB"/>
          </w:tcPr>
          <w:p>
            <w:r>
              <w:rPr>
                <w:b/>
                <w:sz w:val="19"/>
              </w:rPr>
              <w:t xml:space="preserve">Note  </w:t>
            </w:r>
            <w:r>
              <w:rPr>
                <w:rFonts w:ascii="Consolas" w:hAnsi="Consolas"/>
                <w:color w:val="6F5900"/>
                <w:sz w:val="19"/>
              </w:rPr>
              <w:t>e2e-workflow</w:t>
            </w:r>
            <w:r>
              <w:rPr>
                <w:sz w:val="19"/>
              </w:rPr>
              <w:t xml:space="preserve"> needs an open case; run </w:t>
            </w:r>
            <w:r>
              <w:rPr>
                <w:rFonts w:ascii="Consolas" w:hAnsi="Consolas"/>
                <w:color w:val="6F5900"/>
                <w:sz w:val="19"/>
              </w:rPr>
              <w:t>e2e-intake</w:t>
            </w:r>
            <w:r>
              <w:rPr>
                <w:sz w:val="19"/>
              </w:rPr>
              <w:t xml:space="preserve"> first. Both are safe to re-run.</w:t>
            </w:r>
          </w:p>
        </w:tc>
      </w:tr>
    </w:tbl>
    <w:p/>
    <w:p>
      <w:pPr>
        <w:pStyle w:val="Heading2"/>
      </w:pPr>
      <w:r>
        <w:t>7.3 Deployment</w:t>
      </w:r>
    </w:p>
    <w:p>
      <w:pPr>
        <w:pStyle w:val="CodeBlock"/>
      </w:pPr>
      <w:r>
        <w:t>bash deploy/deploy.sh</w:t>
      </w:r>
    </w:p>
    <w:p>
      <w:pPr>
        <w:pStyle w:val="CodeBlock"/>
      </w:pPr>
      <w:r>
        <w:t xml:space="preserve">  ├─ build server, admin, public-form</w:t>
      </w:r>
    </w:p>
    <w:p>
      <w:pPr>
        <w:pStyle w:val="CodeBlock"/>
      </w:pPr>
      <w:r>
        <w:t xml:space="preserve">  ├─ tar-over-ssh to /opt/dsr and /var/www/dsr      (rsync is absent on Windows)</w:t>
      </w:r>
    </w:p>
    <w:p>
      <w:pPr>
        <w:pStyle w:val="CodeBlock"/>
      </w:pPr>
      <w:r>
        <w:t xml:space="preserve">  ├─ write /opt/dsr/server/.env, chmod 600</w:t>
      </w:r>
    </w:p>
    <w:p>
      <w:pPr>
        <w:pStyle w:val="CodeBlock"/>
      </w:pPr>
      <w:r>
        <w:t xml:space="preserve">  ├─ npm ci --omit=dev</w:t>
      </w:r>
    </w:p>
    <w:p>
      <w:pPr>
        <w:pStyle w:val="CodeBlock"/>
      </w:pPr>
      <w:r>
        <w:t xml:space="preserve">  ├─ node scripts/migrate.mjs                        (tracked in schema_migrations)</w:t>
      </w:r>
    </w:p>
    <w:p>
      <w:pPr>
        <w:pStyle w:val="CodeBlock"/>
      </w:pPr>
      <w:r>
        <w:t xml:space="preserve">  ├─ node scripts/import-forms.mjs</w:t>
      </w:r>
    </w:p>
    <w:p>
      <w:pPr>
        <w:pStyle w:val="CodeBlock"/>
      </w:pPr>
      <w:r>
        <w:t xml:space="preserve">  ├─ install systemd unit + nginx site, nginx -t</w:t>
      </w:r>
    </w:p>
    <w:p>
      <w:pPr>
        <w:pStyle w:val="CodeBlock"/>
      </w:pPr>
      <w:r>
        <w:t xml:space="preserve">  ├─ re-apply TLS if a certificate exists   (certbot install --nginx --redirect)</w:t>
      </w:r>
    </w:p>
    <w:p>
      <w:pPr>
        <w:pStyle w:val="CodeBlock"/>
      </w:pPr>
      <w:r>
        <w:t xml:space="preserve">  └─ restart dsr-api, reload nginx, health check</w:t>
      </w:r>
    </w:p>
    <w:tbl>
      <w:tblPr>
        <w:tblW w:type="auto" w:w="0"/>
        <w:jc w:val="center"/>
        <w:tblLook w:firstColumn="1" w:firstRow="1" w:lastColumn="0" w:lastRow="0" w:noHBand="0" w:noVBand="1" w:val="04A0"/>
      </w:tblPr>
      <w:tblGrid>
        <w:gridCol w:w="9648"/>
      </w:tblGrid>
      <w:tr>
        <w:tc>
          <w:tcPr>
            <w:tcW w:type="dxa" w:w="9648"/>
            <w:shd w:fill="FDF3E7"/>
          </w:tcPr>
          <w:p>
            <w:r>
              <w:rPr>
                <w:b/>
                <w:sz w:val="19"/>
              </w:rPr>
              <w:t xml:space="preserve">Important  </w:t>
            </w:r>
            <w:r>
              <w:rPr>
                <w:sz w:val="19"/>
              </w:rPr>
              <w:t xml:space="preserve">The nginx config in the repo is HTTP-only. Pushing it overwrites certbot's TLS server blocks, which is why </w:t>
            </w:r>
            <w:r>
              <w:rPr>
                <w:rFonts w:ascii="Consolas" w:hAnsi="Consolas"/>
                <w:color w:val="6F5900"/>
                <w:sz w:val="19"/>
              </w:rPr>
              <w:t>deploy.sh</w:t>
            </w:r>
            <w:r>
              <w:rPr>
                <w:sz w:val="19"/>
              </w:rPr>
              <w:t xml:space="preserve"> re-runs </w:t>
            </w:r>
            <w:r>
              <w:rPr>
                <w:rFonts w:ascii="Consolas" w:hAnsi="Consolas"/>
                <w:color w:val="6F5900"/>
                <w:sz w:val="19"/>
              </w:rPr>
              <w:t>certbot install</w:t>
            </w:r>
            <w:r>
              <w:rPr>
                <w:sz w:val="19"/>
              </w:rPr>
              <w:t xml:space="preserve"> on every release. Removing that step silently drops the site back to plain HTTP.</w:t>
            </w:r>
          </w:p>
        </w:tc>
      </w:tr>
    </w:tbl>
    <w:p/>
    <w:tbl>
      <w:tblPr>
        <w:tblStyle w:val="LightGrid-Accent1"/>
        <w:tblW w:type="auto" w:w="0"/>
        <w:tblLook w:firstColumn="1" w:firstRow="1" w:lastColumn="0" w:lastRow="0" w:noHBand="0" w:noVBand="1" w:val="04A0"/>
      </w:tblPr>
      <w:tblGrid>
        <w:gridCol w:w="4824"/>
        <w:gridCol w:w="4824"/>
      </w:tblGrid>
      <w:tr>
        <w:tc>
          <w:tcPr>
            <w:tcW w:type="dxa" w:w="2880"/>
          </w:tcPr>
          <w:p>
            <w:r/>
            <w:r>
              <w:rPr>
                <w:b/>
                <w:sz w:val="18"/>
              </w:rPr>
              <w:t>File</w:t>
            </w:r>
          </w:p>
        </w:tc>
        <w:tc>
          <w:tcPr>
            <w:tcW w:type="dxa" w:w="6336"/>
          </w:tcPr>
          <w:p>
            <w:r/>
            <w:r>
              <w:rPr>
                <w:b/>
                <w:sz w:val="18"/>
              </w:rPr>
              <w:t>Purpose</w:t>
            </w:r>
          </w:p>
        </w:tc>
      </w:tr>
      <w:tr>
        <w:tc>
          <w:tcPr>
            <w:tcW w:type="dxa" w:w="2880"/>
          </w:tcPr>
          <w:p>
            <w:r>
              <w:rPr>
                <w:sz w:val="18"/>
              </w:rPr>
            </w:r>
            <w:r>
              <w:rPr>
                <w:rFonts w:ascii="Consolas" w:hAnsi="Consolas"/>
                <w:color w:val="6F5900"/>
                <w:sz w:val="18"/>
              </w:rPr>
              <w:t>deploy/provision.sh</w:t>
            </w:r>
          </w:p>
        </w:tc>
        <w:tc>
          <w:tcPr>
            <w:tcW w:type="dxa" w:w="6336"/>
          </w:tcPr>
          <w:p>
            <w:r>
              <w:rPr>
                <w:sz w:val="18"/>
              </w:rPr>
            </w:r>
            <w:r>
              <w:rPr>
                <w:sz w:val="18"/>
              </w:rPr>
              <w:t>One-time host setup: swap, Node 22, PostgreSQL, nginx, firewall</w:t>
            </w:r>
          </w:p>
        </w:tc>
      </w:tr>
      <w:tr>
        <w:tc>
          <w:tcPr>
            <w:tcW w:type="dxa" w:w="2880"/>
          </w:tcPr>
          <w:p>
            <w:r>
              <w:rPr>
                <w:sz w:val="18"/>
              </w:rPr>
            </w:r>
            <w:r>
              <w:rPr>
                <w:rFonts w:ascii="Consolas" w:hAnsi="Consolas"/>
                <w:color w:val="6F5900"/>
                <w:sz w:val="18"/>
              </w:rPr>
              <w:t>deploy/setup-db.sh</w:t>
            </w:r>
          </w:p>
        </w:tc>
        <w:tc>
          <w:tcPr>
            <w:tcW w:type="dxa" w:w="6336"/>
          </w:tcPr>
          <w:p>
            <w:r>
              <w:rPr>
                <w:sz w:val="18"/>
              </w:rPr>
            </w:r>
            <w:r>
              <w:rPr>
                <w:sz w:val="18"/>
              </w:rPr>
              <w:t xml:space="preserve">Creates the </w:t>
            </w:r>
            <w:r>
              <w:rPr>
                <w:rFonts w:ascii="Consolas" w:hAnsi="Consolas"/>
                <w:color w:val="6F5900"/>
                <w:sz w:val="18"/>
              </w:rPr>
              <w:t>dsr</w:t>
            </w:r>
            <w:r>
              <w:rPr>
                <w:sz w:val="18"/>
              </w:rPr>
              <w:t xml:space="preserve"> owner and the restricted </w:t>
            </w:r>
            <w:r>
              <w:rPr>
                <w:rFonts w:ascii="Consolas" w:hAnsi="Consolas"/>
                <w:color w:val="6F5900"/>
                <w:sz w:val="18"/>
              </w:rPr>
              <w:t>dsr_app</w:t>
            </w:r>
            <w:r>
              <w:rPr>
                <w:sz w:val="18"/>
              </w:rPr>
              <w:t xml:space="preserve"> role</w:t>
            </w:r>
          </w:p>
        </w:tc>
      </w:tr>
      <w:tr>
        <w:tc>
          <w:tcPr>
            <w:tcW w:type="dxa" w:w="2880"/>
          </w:tcPr>
          <w:p>
            <w:r>
              <w:rPr>
                <w:sz w:val="18"/>
              </w:rPr>
            </w:r>
            <w:r>
              <w:rPr>
                <w:rFonts w:ascii="Consolas" w:hAnsi="Consolas"/>
                <w:color w:val="6F5900"/>
                <w:sz w:val="18"/>
              </w:rPr>
              <w:t>deploy/deploy.sh</w:t>
            </w:r>
          </w:p>
        </w:tc>
        <w:tc>
          <w:tcPr>
            <w:tcW w:type="dxa" w:w="6336"/>
          </w:tcPr>
          <w:p>
            <w:r>
              <w:rPr>
                <w:sz w:val="18"/>
              </w:rPr>
            </w:r>
            <w:r>
              <w:rPr>
                <w:sz w:val="18"/>
              </w:rPr>
              <w:t>The repeatable release</w:t>
            </w:r>
          </w:p>
        </w:tc>
      </w:tr>
      <w:tr>
        <w:tc>
          <w:tcPr>
            <w:tcW w:type="dxa" w:w="2880"/>
          </w:tcPr>
          <w:p>
            <w:r>
              <w:rPr>
                <w:sz w:val="18"/>
              </w:rPr>
            </w:r>
            <w:r>
              <w:rPr>
                <w:rFonts w:ascii="Consolas" w:hAnsi="Consolas"/>
                <w:color w:val="6F5900"/>
                <w:sz w:val="18"/>
              </w:rPr>
              <w:t>deploy/nginx.conf</w:t>
            </w:r>
          </w:p>
        </w:tc>
        <w:tc>
          <w:tcPr>
            <w:tcW w:type="dxa" w:w="6336"/>
          </w:tcPr>
          <w:p>
            <w:r>
              <w:rPr>
                <w:sz w:val="18"/>
              </w:rPr>
            </w:r>
            <w:r>
              <w:rPr>
                <w:sz w:val="18"/>
              </w:rPr>
              <w:t>Routing, security headers, CSP, rate limits</w:t>
            </w:r>
          </w:p>
        </w:tc>
      </w:tr>
      <w:tr>
        <w:tc>
          <w:tcPr>
            <w:tcW w:type="dxa" w:w="2880"/>
          </w:tcPr>
          <w:p>
            <w:r>
              <w:rPr>
                <w:sz w:val="18"/>
              </w:rPr>
            </w:r>
            <w:r>
              <w:rPr>
                <w:rFonts w:ascii="Consolas" w:hAnsi="Consolas"/>
                <w:color w:val="6F5900"/>
                <w:sz w:val="18"/>
              </w:rPr>
              <w:t>deploy/dsr-api.service</w:t>
            </w:r>
          </w:p>
        </w:tc>
        <w:tc>
          <w:tcPr>
            <w:tcW w:type="dxa" w:w="6336"/>
          </w:tcPr>
          <w:p>
            <w:r>
              <w:rPr>
                <w:sz w:val="18"/>
              </w:rPr>
            </w:r>
            <w:r>
              <w:rPr>
                <w:sz w:val="18"/>
              </w:rPr>
              <w:t>systemd unit with filesystem hardening</w:t>
            </w:r>
          </w:p>
        </w:tc>
      </w:tr>
      <w:tr>
        <w:tc>
          <w:tcPr>
            <w:tcW w:type="dxa" w:w="2880"/>
          </w:tcPr>
          <w:p>
            <w:r>
              <w:rPr>
                <w:sz w:val="18"/>
              </w:rPr>
            </w:r>
            <w:r>
              <w:rPr>
                <w:rFonts w:ascii="Consolas" w:hAnsi="Consolas"/>
                <w:color w:val="6F5900"/>
                <w:sz w:val="18"/>
              </w:rPr>
              <w:t>deploy/enable-tls.sh</w:t>
            </w:r>
          </w:p>
        </w:tc>
        <w:tc>
          <w:tcPr>
            <w:tcW w:type="dxa" w:w="6336"/>
          </w:tcPr>
          <w:p>
            <w:r>
              <w:rPr>
                <w:sz w:val="18"/>
              </w:rPr>
            </w:r>
            <w:r>
              <w:rPr>
                <w:sz w:val="18"/>
              </w:rPr>
              <w:t>Let's Encrypt for a real domain name</w:t>
            </w:r>
          </w:p>
        </w:tc>
      </w:tr>
      <w:tr>
        <w:tc>
          <w:tcPr>
            <w:tcW w:type="dxa" w:w="2880"/>
          </w:tcPr>
          <w:p>
            <w:r>
              <w:rPr>
                <w:sz w:val="18"/>
              </w:rPr>
            </w:r>
            <w:r>
              <w:rPr>
                <w:rFonts w:ascii="Consolas" w:hAnsi="Consolas"/>
                <w:color w:val="6F5900"/>
                <w:sz w:val="18"/>
              </w:rPr>
              <w:t>deploy/enable-tls-ip.sh</w:t>
            </w:r>
          </w:p>
        </w:tc>
        <w:tc>
          <w:tcPr>
            <w:tcW w:type="dxa" w:w="6336"/>
          </w:tcPr>
          <w:p>
            <w:r>
              <w:rPr>
                <w:sz w:val="18"/>
              </w:rPr>
            </w:r>
            <w:r>
              <w:rPr>
                <w:sz w:val="18"/>
              </w:rPr>
              <w:t>Let's Encrypt for a host with no domain, via sslip.io wildcard DNS</w:t>
            </w:r>
          </w:p>
        </w:tc>
      </w:tr>
      <w:tr>
        <w:tc>
          <w:tcPr>
            <w:tcW w:type="dxa" w:w="2880"/>
          </w:tcPr>
          <w:p>
            <w:r>
              <w:rPr>
                <w:sz w:val="18"/>
              </w:rPr>
            </w:r>
            <w:r>
              <w:rPr>
                <w:rFonts w:ascii="Consolas" w:hAnsi="Consolas"/>
                <w:color w:val="6F5900"/>
                <w:sz w:val="18"/>
              </w:rPr>
              <w:t>deploy/.secrets.env</w:t>
            </w:r>
          </w:p>
        </w:tc>
        <w:tc>
          <w:tcPr>
            <w:tcW w:type="dxa" w:w="6336"/>
          </w:tcPr>
          <w:p>
            <w:r>
              <w:rPr>
                <w:sz w:val="18"/>
              </w:rPr>
            </w:r>
            <w:r>
              <w:rPr>
                <w:sz w:val="18"/>
              </w:rPr>
              <w:t>Generated secrets. chmod 600, never committed</w:t>
            </w:r>
          </w:p>
        </w:tc>
      </w:tr>
    </w:tbl>
    <w:p/>
    <w:tbl>
      <w:tblPr>
        <w:tblW w:type="auto" w:w="0"/>
        <w:jc w:val="center"/>
        <w:tblLook w:firstColumn="1" w:firstRow="1" w:lastColumn="0" w:lastRow="0" w:noHBand="0" w:noVBand="1" w:val="04A0"/>
      </w:tblPr>
      <w:tblGrid>
        <w:gridCol w:w="9648"/>
      </w:tblGrid>
      <w:tr>
        <w:tc>
          <w:tcPr>
            <w:tcW w:type="dxa" w:w="9648"/>
            <w:shd w:fill="FDF3E7"/>
          </w:tcPr>
          <w:p>
            <w:r>
              <w:rPr>
                <w:b/>
                <w:sz w:val="19"/>
              </w:rPr>
              <w:t xml:space="preserve">Important  </w:t>
            </w:r>
            <w:r>
              <w:rPr>
                <w:sz w:val="19"/>
              </w:rPr>
              <w:t xml:space="preserve">nginx </w:t>
            </w:r>
            <w:r>
              <w:rPr>
                <w:rFonts w:ascii="Consolas" w:hAnsi="Consolas"/>
                <w:color w:val="6F5900"/>
                <w:sz w:val="19"/>
              </w:rPr>
              <w:t>add_header</w:t>
            </w:r>
            <w:r>
              <w:rPr>
                <w:sz w:val="19"/>
              </w:rPr>
              <w:t xml:space="preserve"> inside a </w:t>
            </w:r>
            <w:r>
              <w:rPr>
                <w:rFonts w:ascii="Consolas" w:hAnsi="Consolas"/>
                <w:color w:val="6F5900"/>
                <w:sz w:val="19"/>
              </w:rPr>
              <w:t>location</w:t>
            </w:r>
            <w:r>
              <w:rPr>
                <w:sz w:val="19"/>
              </w:rPr>
              <w:t xml:space="preserve"> block </w:t>
            </w:r>
            <w:r>
              <w:rPr>
                <w:b/>
                <w:sz w:val="19"/>
              </w:rPr>
              <w:t>discards</w:t>
            </w:r>
            <w:r>
              <w:rPr>
                <w:sz w:val="19"/>
              </w:rPr>
              <w:t xml:space="preserve"> inherited headers. Every location that adds one must restate the full baseline. This bit us once already.</w:t>
            </w:r>
          </w:p>
        </w:tc>
      </w:tr>
    </w:tbl>
    <w:p/>
    <w:p>
      <w:r>
        <w:br w:type="page"/>
      </w:r>
    </w:p>
    <w:p>
      <w:pPr>
        <w:pStyle w:val="Heading1"/>
      </w:pPr>
      <w:r>
        <w:t>8. Operations</w:t>
      </w:r>
    </w:p>
    <w:p>
      <w:pPr>
        <w:pStyle w:val="Heading2"/>
      </w:pPr>
      <w:r>
        <w:t>8.1 Everyday commands</w:t>
      </w:r>
    </w:p>
    <w:p>
      <w:pPr>
        <w:pStyle w:val="CodeBlock"/>
      </w:pPr>
      <w:r>
        <w:t>systemctl status dsr-api</w:t>
      </w:r>
    </w:p>
    <w:p>
      <w:pPr>
        <w:pStyle w:val="CodeBlock"/>
      </w:pPr>
      <w:r>
        <w:t>journalctl -u dsr-api -f</w:t>
      </w:r>
    </w:p>
    <w:p>
      <w:pPr>
        <w:pStyle w:val="CodeBlock"/>
      </w:pPr>
      <w:r>
        <w:t>journalctl -u dsr-api -f | grep -i verification     # email delivery problems</w:t>
      </w:r>
    </w:p>
    <w:p>
      <w:pPr>
        <w:pStyle w:val="CodeBlock"/>
      </w:pPr>
      <w:r>
        <w:t xml:space="preserve"> </w:t>
      </w:r>
    </w:p>
    <w:p>
      <w:pPr>
        <w:pStyle w:val="CodeBlock"/>
      </w:pPr>
      <w:r>
        <w:t>sudo -u postgres psql dsr                          # database shell</w:t>
      </w:r>
    </w:p>
    <w:p>
      <w:pPr>
        <w:pStyle w:val="CodeBlock"/>
      </w:pPr>
      <w:r>
        <w:t>node deploy/smoke.mjs                              # verify a release</w:t>
      </w:r>
    </w:p>
    <w:p>
      <w:pPr>
        <w:pStyle w:val="Heading2"/>
      </w:pPr>
      <w:r>
        <w:t>8.2 Known constraints on the current host</w:t>
      </w:r>
    </w:p>
    <w:p>
      <w:pPr>
        <w:pStyle w:val="ListBullet"/>
      </w:pPr>
      <w:r>
        <w:rPr>
          <w:b/>
        </w:rPr>
        <w:t>Outbound SMTP is blocked on 25, 465 and 587</w:t>
      </w:r>
      <w:r>
        <w:t xml:space="preserve">, so Gmail app passwords can never work here. Port </w:t>
      </w:r>
      <w:r>
        <w:rPr>
          <w:b/>
        </w:rPr>
        <w:t>2525</w:t>
      </w:r>
      <w:r>
        <w:t xml:space="preserve"> is open, so a relay works through the Custom SMTP provider. Resend, Gmail over OAuth2 and Microsoft Graph all send over HTTPS and are unaffected.</w:t>
      </w:r>
    </w:p>
    <w:p>
      <w:pPr>
        <w:pStyle w:val="ListBullet"/>
      </w:pPr>
      <w:r>
        <w:rPr>
          <w:b/>
        </w:rPr>
        <w:t>TLS is in place</w:t>
      </w:r>
      <w:r>
        <w:t xml:space="preserve"> for </w:t>
      </w:r>
      <w:r>
        <w:rPr>
          <w:rFonts w:ascii="Consolas" w:hAnsi="Consolas"/>
          <w:color w:val="6F5900"/>
          <w:sz w:val="18"/>
        </w:rPr>
        <w:t>68-183-91-209.sslip.io</w:t>
      </w:r>
      <w:r>
        <w:t xml:space="preserve">, issued by Let's Encrypt and renewed by </w:t>
      </w:r>
      <w:r>
        <w:rPr>
          <w:rFonts w:ascii="Consolas" w:hAnsi="Consolas"/>
          <w:color w:val="6F5900"/>
          <w:sz w:val="18"/>
        </w:rPr>
        <w:t>certbot.timer</w:t>
      </w:r>
      <w:r>
        <w:t xml:space="preserve">. </w:t>
      </w:r>
      <w:r>
        <w:rPr>
          <w:rFonts w:ascii="Consolas" w:hAnsi="Consolas"/>
          <w:color w:val="6F5900"/>
          <w:sz w:val="18"/>
        </w:rPr>
        <w:t>COOKIE_SECURE</w:t>
      </w:r>
      <w:r>
        <w:t xml:space="preserve"> defaults to </w:t>
      </w:r>
      <w:r>
        <w:rPr>
          <w:rFonts w:ascii="Consolas" w:hAnsi="Consolas"/>
          <w:color w:val="6F5900"/>
          <w:sz w:val="18"/>
        </w:rPr>
        <w:t>true</w:t>
      </w:r>
      <w:r>
        <w:t xml:space="preserve">. sslip.io resolves any dashed IP in its name back to that IP, which is how a certificate is possible without owning a domain. Moving to a real domain means re-running </w:t>
      </w:r>
      <w:r>
        <w:rPr>
          <w:rFonts w:ascii="Consolas" w:hAnsi="Consolas"/>
          <w:color w:val="6F5900"/>
          <w:sz w:val="18"/>
        </w:rPr>
        <w:t>deploy/enable-tls.sh</w:t>
      </w:r>
      <w:r>
        <w:t xml:space="preserve"> and updating </w:t>
      </w:r>
      <w:r>
        <w:rPr>
          <w:rFonts w:ascii="Consolas" w:hAnsi="Consolas"/>
          <w:color w:val="6F5900"/>
          <w:sz w:val="18"/>
        </w:rPr>
        <w:t>PORTAL_*_URL</w:t>
      </w:r>
      <w:r>
        <w:t>.</w:t>
      </w:r>
    </w:p>
    <w:p>
      <w:pPr>
        <w:pStyle w:val="ListBullet"/>
      </w:pPr>
      <w:r>
        <w:rPr>
          <w:b/>
        </w:rPr>
        <w:t>One vCPU and 2 GB.</w:t>
      </w:r>
      <w:r>
        <w:t xml:space="preserve"> A 2 GB swap file is configured and the API is capped at a 384 MB heap.</w:t>
      </w:r>
    </w:p>
    <w:p>
      <w:pPr>
        <w:pStyle w:val="Heading2"/>
      </w:pPr>
      <w:r>
        <w:t>8.3 Extending the system</w:t>
      </w:r>
    </w:p>
    <w:p>
      <w:pPr>
        <w:pStyle w:val="Heading3"/>
      </w:pPr>
      <w:r>
        <w:t>Add a setting</w:t>
      </w:r>
    </w:p>
    <w:p>
      <w:r>
        <w:rPr>
          <w:b w:val="0"/>
        </w:rPr>
        <w:t>Append an entry to `SETTINGS` in `settings.catalog.ts`. The API, the validation and the Settings screen all pick it up; nothing else needs touching. Mark it `secret: true` to have it encrypted and masked.</w:t>
      </w:r>
    </w:p>
    <w:p>
      <w:pPr>
        <w:pStyle w:val="Heading3"/>
      </w:pPr>
      <w:r>
        <w:t>Add an email provider</w:t>
      </w:r>
    </w:p>
    <w:p>
      <w:pPr>
        <w:pStyle w:val="ListNumber"/>
      </w:pPr>
      <w:r>
        <w:t xml:space="preserve">Implement </w:t>
      </w:r>
      <w:r>
        <w:rPr>
          <w:rFonts w:ascii="Consolas" w:hAnsi="Consolas"/>
          <w:color w:val="6F5900"/>
          <w:sz w:val="18"/>
        </w:rPr>
        <w:t>EmailProvider</w:t>
      </w:r>
      <w:r>
        <w:t xml:space="preserve"> in a new file under </w:t>
      </w:r>
      <w:r>
        <w:rPr>
          <w:rFonts w:ascii="Consolas" w:hAnsi="Consolas"/>
          <w:color w:val="6F5900"/>
          <w:sz w:val="18"/>
        </w:rPr>
        <w:t>server/src/email/</w:t>
      </w:r>
      <w:r>
        <w:t>.</w:t>
      </w:r>
    </w:p>
    <w:p>
      <w:pPr>
        <w:pStyle w:val="ListNumber"/>
      </w:pPr>
      <w:r>
        <w:t xml:space="preserve">Register it in </w:t>
      </w:r>
      <w:r>
        <w:rPr>
          <w:rFonts w:ascii="Consolas" w:hAnsi="Consolas"/>
          <w:color w:val="6F5900"/>
          <w:sz w:val="18"/>
        </w:rPr>
        <w:t>email.module.ts</w:t>
      </w:r>
      <w:r>
        <w:t xml:space="preserve"> and add a case to </w:t>
      </w:r>
      <w:r>
        <w:rPr>
          <w:rFonts w:ascii="Consolas" w:hAnsi="Consolas"/>
          <w:color w:val="6F5900"/>
          <w:sz w:val="18"/>
        </w:rPr>
        <w:t>EmailDispatcher.active()</w:t>
      </w:r>
      <w:r>
        <w:t>.</w:t>
      </w:r>
    </w:p>
    <w:p>
      <w:pPr>
        <w:pStyle w:val="ListNumber"/>
      </w:pPr>
      <w:r>
        <w:t>Add the provider option and its credential fields to the settings catalog.</w:t>
      </w:r>
    </w:p>
    <w:p>
      <w:pPr>
        <w:pStyle w:val="ListNumber"/>
      </w:pPr>
      <w:r>
        <w:t xml:space="preserve">If it speaks SMTP, reuse </w:t>
      </w:r>
      <w:r>
        <w:rPr>
          <w:rFonts w:ascii="Consolas" w:hAnsi="Consolas"/>
          <w:color w:val="6F5900"/>
          <w:sz w:val="18"/>
        </w:rPr>
        <w:t>createSmtpTransport</w:t>
      </w:r>
      <w:r>
        <w:t xml:space="preserve"> so it inherits the IPv4 pinning and timeouts.</w:t>
      </w:r>
    </w:p>
    <w:p>
      <w:pPr>
        <w:pStyle w:val="Heading3"/>
      </w:pPr>
      <w:r>
        <w:t>Add a form field type</w:t>
      </w:r>
    </w:p>
    <w:p>
      <w:pPr>
        <w:pStyle w:val="ListNumber"/>
      </w:pPr>
      <w:r>
        <w:t xml:space="preserve">Add the type to </w:t>
      </w:r>
      <w:r>
        <w:rPr>
          <w:rFonts w:ascii="Consolas" w:hAnsi="Consolas"/>
          <w:color w:val="6F5900"/>
          <w:sz w:val="18"/>
        </w:rPr>
        <w:t>FIELD_TYPES</w:t>
      </w:r>
      <w:r>
        <w:t xml:space="preserve"> in </w:t>
      </w:r>
      <w:r>
        <w:rPr>
          <w:rFonts w:ascii="Consolas" w:hAnsi="Consolas"/>
          <w:color w:val="6F5900"/>
          <w:sz w:val="18"/>
        </w:rPr>
        <w:t>forms.service.ts</w:t>
      </w:r>
      <w:r>
        <w:t xml:space="preserve"> so publication accepts it.</w:t>
      </w:r>
    </w:p>
    <w:p>
      <w:pPr>
        <w:pStyle w:val="ListNumber"/>
      </w:pPr>
      <w:r>
        <w:t xml:space="preserve">Add it to the palette in </w:t>
      </w:r>
      <w:r>
        <w:rPr>
          <w:rFonts w:ascii="Consolas" w:hAnsi="Consolas"/>
          <w:color w:val="6F5900"/>
          <w:sz w:val="18"/>
        </w:rPr>
        <w:t>forms.controller.ts</w:t>
      </w:r>
      <w:r>
        <w:t>.</w:t>
      </w:r>
    </w:p>
    <w:p>
      <w:pPr>
        <w:pStyle w:val="ListNumber"/>
      </w:pPr>
      <w:r>
        <w:t xml:space="preserve">Render it in the public </w:t>
      </w:r>
      <w:r>
        <w:rPr>
          <w:rFonts w:ascii="Consolas" w:hAnsi="Consolas"/>
          <w:color w:val="6F5900"/>
          <w:sz w:val="18"/>
        </w:rPr>
        <w:t>FieldRenderer.tsx</w:t>
      </w:r>
      <w:r>
        <w:t xml:space="preserve">, and validate it in both </w:t>
      </w:r>
      <w:r>
        <w:rPr>
          <w:rFonts w:ascii="Consolas" w:hAnsi="Consolas"/>
          <w:color w:val="6F5900"/>
          <w:sz w:val="18"/>
        </w:rPr>
        <w:t>form-validation.ts</w:t>
      </w:r>
      <w:r>
        <w:t xml:space="preserve"> and the client </w:t>
      </w:r>
      <w:r>
        <w:rPr>
          <w:rFonts w:ascii="Consolas" w:hAnsi="Consolas"/>
          <w:color w:val="6F5900"/>
          <w:sz w:val="18"/>
        </w:rPr>
        <w:t>validation.ts</w:t>
      </w:r>
      <w:r>
        <w:t>.</w:t>
      </w:r>
    </w:p>
    <w:p>
      <w:pPr>
        <w:pStyle w:val="ListNumber"/>
      </w:pPr>
      <w:r>
        <w:t xml:space="preserve">Add it to </w:t>
      </w:r>
      <w:r>
        <w:rPr>
          <w:rFonts w:ascii="Consolas" w:hAnsi="Consolas"/>
          <w:color w:val="6F5900"/>
          <w:sz w:val="18"/>
        </w:rPr>
        <w:t>TYPE_LABEL</w:t>
      </w:r>
      <w:r>
        <w:t xml:space="preserve"> and </w:t>
      </w:r>
      <w:r>
        <w:rPr>
          <w:rFonts w:ascii="Consolas" w:hAnsi="Consolas"/>
          <w:color w:val="6F5900"/>
          <w:sz w:val="18"/>
        </w:rPr>
        <w:t>TYPE_ICON</w:t>
      </w:r>
      <w:r>
        <w:t xml:space="preserve"> in </w:t>
      </w:r>
      <w:r>
        <w:rPr>
          <w:rFonts w:ascii="Consolas" w:hAnsi="Consolas"/>
          <w:color w:val="6F5900"/>
          <w:sz w:val="18"/>
        </w:rPr>
        <w:t>formTree.ts</w:t>
      </w:r>
      <w:r>
        <w:t xml:space="preserve"> so the builder labels it.</w:t>
      </w:r>
    </w:p>
    <w:p>
      <w:pPr>
        <w:pStyle w:val="Heading3"/>
      </w:pPr>
      <w:r>
        <w:t>Add a role</w:t>
      </w:r>
    </w:p>
    <w:p>
      <w:pPr>
        <w:pStyle w:val="ListNumber"/>
      </w:pPr>
      <w:r>
        <w:t xml:space="preserve">Add it to the </w:t>
      </w:r>
      <w:r>
        <w:rPr>
          <w:rFonts w:ascii="Consolas" w:hAnsi="Consolas"/>
          <w:color w:val="6F5900"/>
          <w:sz w:val="18"/>
        </w:rPr>
        <w:t>SessionUser</w:t>
      </w:r>
      <w:r>
        <w:t xml:space="preserve"> union and to </w:t>
      </w:r>
      <w:r>
        <w:rPr>
          <w:rFonts w:ascii="Consolas" w:hAnsi="Consolas"/>
          <w:color w:val="6F5900"/>
          <w:sz w:val="18"/>
        </w:rPr>
        <w:t>RANK</w:t>
      </w:r>
      <w:r>
        <w:t xml:space="preserve"> in </w:t>
      </w:r>
      <w:r>
        <w:rPr>
          <w:rFonts w:ascii="Consolas" w:hAnsi="Consolas"/>
          <w:color w:val="6F5900"/>
          <w:sz w:val="18"/>
        </w:rPr>
        <w:t>auth.guard.ts</w:t>
      </w:r>
      <w:r>
        <w:t>, or leave it off the ladder if it should not inherit.</w:t>
      </w:r>
    </w:p>
    <w:p>
      <w:pPr>
        <w:pStyle w:val="ListNumber"/>
      </w:pPr>
      <w:r>
        <w:t xml:space="preserve">Extend </w:t>
      </w:r>
      <w:r>
        <w:rPr>
          <w:rFonts w:ascii="Consolas" w:hAnsi="Consolas"/>
          <w:color w:val="6F5900"/>
          <w:sz w:val="18"/>
        </w:rPr>
        <w:t>auth.guard.spec.ts</w:t>
      </w:r>
      <w:r>
        <w:t xml:space="preserve"> first; the ladder is security-critical and the tests are the specification.</w:t>
      </w:r>
    </w:p>
    <w:p>
      <w:pPr>
        <w:pStyle w:val="ListNumber"/>
      </w:pPr>
      <w:r>
        <w:t xml:space="preserve">Add it to </w:t>
      </w:r>
      <w:r>
        <w:rPr>
          <w:rFonts w:ascii="Consolas" w:hAnsi="Consolas"/>
          <w:color w:val="6F5900"/>
          <w:sz w:val="18"/>
        </w:rPr>
        <w:t>ROLES</w:t>
      </w:r>
      <w:r>
        <w:t xml:space="preserve"> in </w:t>
      </w:r>
      <w:r>
        <w:rPr>
          <w:rFonts w:ascii="Consolas" w:hAnsi="Consolas"/>
          <w:color w:val="6F5900"/>
          <w:sz w:val="18"/>
        </w:rPr>
        <w:t>admin-users.controller.ts</w:t>
      </w:r>
      <w:r>
        <w:t xml:space="preserve"> and to the console's nav guards.</w:t>
      </w:r>
    </w:p>
    <w:p>
      <w:pPr>
        <w:pStyle w:val="Heading2"/>
      </w:pPr>
      <w:r>
        <w:t>8.4 Outstanding work</w:t>
      </w:r>
    </w:p>
    <w:tbl>
      <w:tblPr>
        <w:tblStyle w:val="LightGrid-Accent1"/>
        <w:tblW w:type="auto" w:w="0"/>
        <w:tblLook w:firstColumn="1" w:firstRow="1" w:lastColumn="0" w:lastRow="0" w:noHBand="0" w:noVBand="1" w:val="04A0"/>
      </w:tblPr>
      <w:tblGrid>
        <w:gridCol w:w="4824"/>
        <w:gridCol w:w="4824"/>
      </w:tblGrid>
      <w:tr>
        <w:tc>
          <w:tcPr>
            <w:tcW w:type="dxa" w:w="2880"/>
          </w:tcPr>
          <w:p>
            <w:r/>
            <w:r>
              <w:rPr>
                <w:b/>
                <w:sz w:val="18"/>
              </w:rPr>
              <w:t>Item</w:t>
            </w:r>
          </w:p>
        </w:tc>
        <w:tc>
          <w:tcPr>
            <w:tcW w:type="dxa" w:w="6336"/>
          </w:tcPr>
          <w:p>
            <w:r/>
            <w:r>
              <w:rPr>
                <w:b/>
                <w:sz w:val="18"/>
              </w:rPr>
              <w:t>Notes</w:t>
            </w:r>
          </w:p>
        </w:tc>
      </w:tr>
      <w:tr>
        <w:tc>
          <w:tcPr>
            <w:tcW w:type="dxa" w:w="2880"/>
          </w:tcPr>
          <w:p>
            <w:r>
              <w:rPr>
                <w:sz w:val="18"/>
              </w:rPr>
            </w:r>
            <w:r>
              <w:rPr>
                <w:sz w:val="18"/>
              </w:rPr>
              <w:t>Attachment upload endpoint</w:t>
            </w:r>
          </w:p>
        </w:tc>
        <w:tc>
          <w:tcPr>
            <w:tcW w:type="dxa" w:w="6336"/>
          </w:tcPr>
          <w:p>
            <w:r>
              <w:rPr>
                <w:sz w:val="18"/>
              </w:rPr>
            </w:r>
            <w:r>
              <w:rPr>
                <w:sz w:val="18"/>
              </w:rPr>
              <w:t>Schema and storage-key model exist; needs object storage and virus scanning</w:t>
            </w:r>
          </w:p>
        </w:tc>
      </w:tr>
      <w:tr>
        <w:tc>
          <w:tcPr>
            <w:tcW w:type="dxa" w:w="2880"/>
          </w:tcPr>
          <w:p>
            <w:r>
              <w:rPr>
                <w:sz w:val="18"/>
              </w:rPr>
            </w:r>
            <w:r>
              <w:rPr>
                <w:sz w:val="18"/>
              </w:rPr>
              <w:t>Escalation emails</w:t>
            </w:r>
          </w:p>
        </w:tc>
        <w:tc>
          <w:tcPr>
            <w:tcW w:type="dxa" w:w="6336"/>
          </w:tcPr>
          <w:p>
            <w:r>
              <w:rPr>
                <w:sz w:val="18"/>
              </w:rPr>
            </w:r>
            <w:r>
              <w:rPr>
                <w:sz w:val="18"/>
              </w:rPr>
              <w:t>Configuration fields exist; the sweep hook is not wired</w:t>
            </w:r>
          </w:p>
        </w:tc>
      </w:tr>
      <w:tr>
        <w:tc>
          <w:tcPr>
            <w:tcW w:type="dxa" w:w="2880"/>
          </w:tcPr>
          <w:p>
            <w:r>
              <w:rPr>
                <w:sz w:val="18"/>
              </w:rPr>
            </w:r>
            <w:r>
              <w:rPr>
                <w:sz w:val="18"/>
              </w:rPr>
              <w:t>Full-text case search</w:t>
            </w:r>
          </w:p>
        </w:tc>
        <w:tc>
          <w:tcPr>
            <w:tcW w:type="dxa" w:w="6336"/>
          </w:tcPr>
          <w:p>
            <w:r>
              <w:rPr>
                <w:sz w:val="18"/>
              </w:rPr>
            </w:r>
            <w:r>
              <w:rPr>
                <w:sz w:val="18"/>
              </w:rPr>
              <w:t>List filters exist; no cross-field search yet</w:t>
            </w:r>
          </w:p>
        </w:tc>
      </w:tr>
      <w:tr>
        <w:tc>
          <w:tcPr>
            <w:tcW w:type="dxa" w:w="2880"/>
          </w:tcPr>
          <w:p>
            <w:r>
              <w:rPr>
                <w:sz w:val="18"/>
              </w:rPr>
            </w:r>
            <w:r>
              <w:rPr>
                <w:sz w:val="18"/>
              </w:rPr>
              <w:t>Retention and purge job</w:t>
            </w:r>
          </w:p>
        </w:tc>
        <w:tc>
          <w:tcPr>
            <w:tcW w:type="dxa" w:w="6336"/>
          </w:tcPr>
          <w:p>
            <w:r>
              <w:rPr>
                <w:sz w:val="18"/>
              </w:rPr>
            </w:r>
            <w:r>
              <w:rPr>
                <w:sz w:val="18"/>
              </w:rPr>
              <w:t>Per-zone retention with a documented legal-hold override</w:t>
            </w:r>
          </w:p>
        </w:tc>
      </w:tr>
      <w:tr>
        <w:tc>
          <w:tcPr>
            <w:tcW w:type="dxa" w:w="2880"/>
          </w:tcPr>
          <w:p>
            <w:r>
              <w:rPr>
                <w:sz w:val="18"/>
              </w:rPr>
            </w:r>
            <w:r>
              <w:rPr>
                <w:sz w:val="18"/>
              </w:rPr>
              <w:t>Single sign-on and MFA</w:t>
            </w:r>
          </w:p>
        </w:tc>
        <w:tc>
          <w:tcPr>
            <w:tcW w:type="dxa" w:w="6336"/>
          </w:tcPr>
          <w:p>
            <w:r>
              <w:rPr>
                <w:sz w:val="18"/>
              </w:rPr>
            </w:r>
            <w:r>
              <w:rPr>
                <w:sz w:val="18"/>
              </w:rPr>
              <w:t>The user model is OIDC-shaped; only break-glass credentials today</w:t>
            </w:r>
          </w:p>
        </w:tc>
      </w:tr>
      <w:tr>
        <w:tc>
          <w:tcPr>
            <w:tcW w:type="dxa" w:w="2880"/>
          </w:tcPr>
          <w:p>
            <w:r>
              <w:rPr>
                <w:sz w:val="18"/>
              </w:rPr>
            </w:r>
            <w:r>
              <w:rPr>
                <w:sz w:val="18"/>
              </w:rPr>
              <w:t>Real SLA matrix</w:t>
            </w:r>
          </w:p>
        </w:tc>
        <w:tc>
          <w:tcPr>
            <w:tcW w:type="dxa" w:w="6336"/>
          </w:tcPr>
          <w:p>
            <w:r>
              <w:rPr>
                <w:sz w:val="18"/>
              </w:rPr>
            </w:r>
            <w:r>
              <w:rPr>
                <w:sz w:val="18"/>
              </w:rPr>
              <w:t>Shipped values are placeholders pending Legal sign-off</w:t>
            </w:r>
          </w:p>
        </w:tc>
      </w:tr>
    </w:tbl>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0A0A0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0A0A0A"/>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A0A0A"/>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6F59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30"/>
    </w:pPr>
    <w:rPr>
      <w:rFonts w:ascii="Consolas" w:hAnsi="Consolas"/>
      <w:sz w:val="17"/>
    </w:rPr>
  </w:style>
  <w:style w:type="paragraph" w:customStyle="1" w:styleId="Caption2">
    <w:name w:val="Caption2"/>
    <w:pPr>
      <w:spacing w:before="40" w:after="240"/>
    </w:pPr>
    <w:rPr>
      <w:rFonts w:ascii="Calibri" w:hAnsi="Calibri"/>
      <w:i/>
      <w:color w:val="8A8A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