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92"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bottom w:w="57" w:type="dxa"/>
        </w:tblCellMar>
        <w:tblLook w:val="0000" w:firstRow="0" w:lastRow="0" w:firstColumn="0" w:lastColumn="0" w:noHBand="0" w:noVBand="0"/>
      </w:tblPr>
      <w:tblGrid>
        <w:gridCol w:w="2962"/>
        <w:gridCol w:w="6078"/>
      </w:tblGrid>
      <w:tr w:rsidR="0084759C" w:rsidRPr="006F7DDB" w:rsidTr="0084759C">
        <w:trPr>
          <w:trHeight w:val="303"/>
        </w:trPr>
        <w:tc>
          <w:tcPr>
            <w:tcW w:w="5000" w:type="pct"/>
            <w:gridSpan w:val="2"/>
            <w:tcBorders>
              <w:top w:val="nil"/>
              <w:left w:val="nil"/>
              <w:right w:val="nil"/>
            </w:tcBorders>
            <w:vAlign w:val="center"/>
          </w:tcPr>
          <w:p w:rsidR="0084759C" w:rsidRPr="00F53CAE" w:rsidRDefault="00B7344E" w:rsidP="0084759C">
            <w:pPr>
              <w:spacing w:after="0"/>
              <w:rPr>
                <w:b/>
                <w:color w:val="4F81BD" w:themeColor="accent1"/>
                <w:sz w:val="36"/>
              </w:rPr>
            </w:pPr>
            <w:r>
              <w:rPr>
                <w:b/>
                <w:color w:val="4F81BD" w:themeColor="accent1"/>
                <w:sz w:val="36"/>
              </w:rPr>
              <w:t>OWE</w:t>
            </w:r>
            <w:r w:rsidR="0084759C" w:rsidRPr="00F53CAE">
              <w:rPr>
                <w:b/>
                <w:color w:val="4F81BD" w:themeColor="accent1"/>
                <w:sz w:val="36"/>
              </w:rPr>
              <w:t xml:space="preserve"> – Partner contribution document</w:t>
            </w:r>
          </w:p>
        </w:tc>
      </w:tr>
      <w:tr w:rsidR="0084759C" w:rsidRPr="00B536D9" w:rsidTr="0084759C">
        <w:tc>
          <w:tcPr>
            <w:tcW w:w="1638" w:type="pct"/>
            <w:tcBorders>
              <w:left w:val="nil"/>
            </w:tcBorders>
            <w:vAlign w:val="center"/>
          </w:tcPr>
          <w:p w:rsidR="0084759C" w:rsidRPr="006F7DDB" w:rsidRDefault="0084759C" w:rsidP="00133C4D">
            <w:pPr>
              <w:spacing w:after="0"/>
              <w:rPr>
                <w:b/>
                <w:bCs/>
              </w:rPr>
            </w:pPr>
            <w:r>
              <w:rPr>
                <w:b/>
                <w:bCs/>
              </w:rPr>
              <w:t>Organisation</w:t>
            </w:r>
          </w:p>
        </w:tc>
        <w:tc>
          <w:tcPr>
            <w:tcW w:w="3362" w:type="pct"/>
            <w:tcBorders>
              <w:right w:val="nil"/>
            </w:tcBorders>
            <w:vAlign w:val="center"/>
          </w:tcPr>
          <w:p w:rsidR="0084759C" w:rsidRPr="00737419" w:rsidRDefault="00737419" w:rsidP="00B7344E">
            <w:pPr>
              <w:spacing w:after="0"/>
              <w:rPr>
                <w:lang w:val="fr-FR"/>
              </w:rPr>
            </w:pPr>
            <w:r w:rsidRPr="00737419">
              <w:rPr>
                <w:lang w:val="fr-FR"/>
              </w:rPr>
              <w:t xml:space="preserve">AKKA </w:t>
            </w:r>
            <w:r w:rsidR="00B7344E">
              <w:rPr>
                <w:lang w:val="fr-FR"/>
              </w:rPr>
              <w:t>Informatique et Systèmes (AKKA</w:t>
            </w:r>
            <w:r w:rsidR="00CB76CA">
              <w:rPr>
                <w:lang w:val="fr-FR"/>
              </w:rPr>
              <w:t>)</w:t>
            </w:r>
          </w:p>
        </w:tc>
      </w:tr>
      <w:tr w:rsidR="0084759C" w:rsidRPr="00B536D9" w:rsidTr="0084759C">
        <w:tc>
          <w:tcPr>
            <w:tcW w:w="1638" w:type="pct"/>
            <w:tcBorders>
              <w:left w:val="nil"/>
            </w:tcBorders>
            <w:vAlign w:val="center"/>
          </w:tcPr>
          <w:p w:rsidR="0084759C" w:rsidRPr="006F7DDB" w:rsidRDefault="0084759C" w:rsidP="00133C4D">
            <w:pPr>
              <w:spacing w:after="0"/>
              <w:rPr>
                <w:b/>
                <w:bCs/>
              </w:rPr>
            </w:pPr>
            <w:r>
              <w:rPr>
                <w:b/>
                <w:bCs/>
              </w:rPr>
              <w:t>Main contact point</w:t>
            </w:r>
          </w:p>
        </w:tc>
        <w:tc>
          <w:tcPr>
            <w:tcW w:w="3362" w:type="pct"/>
            <w:tcBorders>
              <w:right w:val="nil"/>
            </w:tcBorders>
            <w:vAlign w:val="center"/>
          </w:tcPr>
          <w:p w:rsidR="00CB76CA" w:rsidRPr="00737419" w:rsidRDefault="00CB76CA" w:rsidP="00133C4D">
            <w:pPr>
              <w:spacing w:after="0"/>
              <w:rPr>
                <w:i/>
                <w:lang w:val="fr-FR"/>
              </w:rPr>
            </w:pPr>
            <w:r>
              <w:rPr>
                <w:i/>
                <w:lang w:val="fr-FR"/>
              </w:rPr>
              <w:t>Benoit BAURENS (</w:t>
            </w:r>
            <w:hyperlink r:id="rId5" w:history="1">
              <w:r w:rsidRPr="00535E3B">
                <w:rPr>
                  <w:rStyle w:val="Lienhypertexte"/>
                  <w:i/>
                  <w:lang w:val="fr-FR"/>
                </w:rPr>
                <w:t>benoit.baurens@akka.eu</w:t>
              </w:r>
            </w:hyperlink>
            <w:r>
              <w:rPr>
                <w:i/>
                <w:lang w:val="fr-FR"/>
              </w:rPr>
              <w:t xml:space="preserve">) </w:t>
            </w:r>
          </w:p>
        </w:tc>
      </w:tr>
      <w:tr w:rsidR="0084759C" w:rsidRPr="00B536D9" w:rsidTr="00A47B7D">
        <w:trPr>
          <w:trHeight w:val="459"/>
        </w:trPr>
        <w:tc>
          <w:tcPr>
            <w:tcW w:w="1638" w:type="pct"/>
            <w:tcBorders>
              <w:left w:val="nil"/>
            </w:tcBorders>
            <w:vAlign w:val="center"/>
          </w:tcPr>
          <w:p w:rsidR="0084759C" w:rsidRPr="006F7DDB" w:rsidRDefault="0084759C" w:rsidP="00133C4D">
            <w:pPr>
              <w:spacing w:after="0"/>
              <w:rPr>
                <w:b/>
                <w:bCs/>
              </w:rPr>
            </w:pPr>
            <w:r>
              <w:rPr>
                <w:b/>
                <w:bCs/>
              </w:rPr>
              <w:t>Secondary contact point</w:t>
            </w:r>
          </w:p>
        </w:tc>
        <w:tc>
          <w:tcPr>
            <w:tcW w:w="3362" w:type="pct"/>
            <w:tcBorders>
              <w:right w:val="nil"/>
            </w:tcBorders>
            <w:vAlign w:val="center"/>
          </w:tcPr>
          <w:p w:rsidR="00F57381" w:rsidRPr="00CB76CA" w:rsidRDefault="00F57381" w:rsidP="00F57381">
            <w:pPr>
              <w:spacing w:after="0"/>
              <w:rPr>
                <w:i/>
                <w:lang w:val="fr-FR"/>
              </w:rPr>
            </w:pPr>
            <w:r w:rsidRPr="00737419">
              <w:rPr>
                <w:i/>
                <w:lang w:val="fr-FR"/>
              </w:rPr>
              <w:t>Sylvain NOUREAU (</w:t>
            </w:r>
            <w:hyperlink r:id="rId6" w:history="1">
              <w:r w:rsidRPr="00737419">
                <w:rPr>
                  <w:rStyle w:val="Lienhypertexte"/>
                  <w:i/>
                  <w:lang w:val="fr-FR"/>
                </w:rPr>
                <w:t>sylvain.noureau@akka.eu</w:t>
              </w:r>
            </w:hyperlink>
            <w:r w:rsidRPr="00737419">
              <w:rPr>
                <w:i/>
                <w:lang w:val="fr-FR"/>
              </w:rPr>
              <w:t>)</w:t>
            </w:r>
          </w:p>
        </w:tc>
      </w:tr>
      <w:tr w:rsidR="00A47B7D" w:rsidRPr="006F7DDB" w:rsidTr="0084759C">
        <w:tc>
          <w:tcPr>
            <w:tcW w:w="1638" w:type="pct"/>
            <w:tcBorders>
              <w:left w:val="nil"/>
            </w:tcBorders>
            <w:vAlign w:val="center"/>
          </w:tcPr>
          <w:p w:rsidR="00A47B7D" w:rsidRDefault="00A47B7D" w:rsidP="00133C4D">
            <w:pPr>
              <w:spacing w:after="0"/>
              <w:rPr>
                <w:b/>
                <w:bCs/>
              </w:rPr>
            </w:pPr>
            <w:r>
              <w:rPr>
                <w:b/>
                <w:bCs/>
              </w:rPr>
              <w:t>Countries/parties involved</w:t>
            </w:r>
          </w:p>
        </w:tc>
        <w:tc>
          <w:tcPr>
            <w:tcW w:w="3362" w:type="pct"/>
            <w:tcBorders>
              <w:right w:val="nil"/>
            </w:tcBorders>
            <w:vAlign w:val="center"/>
          </w:tcPr>
          <w:p w:rsidR="00A47B7D" w:rsidRPr="00A47B7D" w:rsidRDefault="00737419" w:rsidP="00A47B7D">
            <w:pPr>
              <w:spacing w:after="0"/>
              <w:rPr>
                <w:i/>
              </w:rPr>
            </w:pPr>
            <w:r>
              <w:rPr>
                <w:i/>
              </w:rPr>
              <w:t>France</w:t>
            </w:r>
          </w:p>
        </w:tc>
      </w:tr>
      <w:tr w:rsidR="0084759C" w:rsidRPr="006F7DDB" w:rsidTr="0084759C">
        <w:tc>
          <w:tcPr>
            <w:tcW w:w="1638" w:type="pct"/>
            <w:tcBorders>
              <w:left w:val="nil"/>
            </w:tcBorders>
            <w:vAlign w:val="center"/>
          </w:tcPr>
          <w:p w:rsidR="0084759C" w:rsidRPr="006F7DDB" w:rsidRDefault="0084759C" w:rsidP="00133C4D">
            <w:pPr>
              <w:spacing w:after="0"/>
              <w:rPr>
                <w:b/>
                <w:bCs/>
              </w:rPr>
            </w:pPr>
            <w:r>
              <w:rPr>
                <w:b/>
                <w:bCs/>
              </w:rPr>
              <w:t>Type of organisation</w:t>
            </w:r>
          </w:p>
        </w:tc>
        <w:tc>
          <w:tcPr>
            <w:tcW w:w="3362" w:type="pct"/>
            <w:tcBorders>
              <w:right w:val="nil"/>
            </w:tcBorders>
            <w:vAlign w:val="center"/>
          </w:tcPr>
          <w:p w:rsidR="0084759C" w:rsidRPr="00A47B7D" w:rsidRDefault="00737419" w:rsidP="00133C4D">
            <w:pPr>
              <w:spacing w:after="0"/>
              <w:rPr>
                <w:i/>
              </w:rPr>
            </w:pPr>
            <w:r>
              <w:rPr>
                <w:i/>
              </w:rPr>
              <w:t>Industry (Engineering)</w:t>
            </w:r>
          </w:p>
        </w:tc>
      </w:tr>
    </w:tbl>
    <w:p w:rsidR="00A47B7D" w:rsidRDefault="00A47B7D" w:rsidP="00AD0690">
      <w:pPr>
        <w:spacing w:after="0"/>
      </w:pPr>
    </w:p>
    <w:tbl>
      <w:tblPr>
        <w:tblW w:w="4989" w:type="pct"/>
        <w:jc w:val="center"/>
        <w:tblCellMar>
          <w:top w:w="28" w:type="dxa"/>
          <w:left w:w="113" w:type="dxa"/>
          <w:bottom w:w="28" w:type="dxa"/>
          <w:right w:w="113" w:type="dxa"/>
        </w:tblCellMar>
        <w:tblLook w:val="04A0" w:firstRow="1" w:lastRow="0" w:firstColumn="1" w:lastColumn="0" w:noHBand="0" w:noVBand="1"/>
      </w:tblPr>
      <w:tblGrid>
        <w:gridCol w:w="1663"/>
        <w:gridCol w:w="1002"/>
        <w:gridCol w:w="1416"/>
        <w:gridCol w:w="2127"/>
        <w:gridCol w:w="2836"/>
      </w:tblGrid>
      <w:tr w:rsidR="00AE23DA" w:rsidRPr="006F7DDB" w:rsidTr="006D78AE">
        <w:trPr>
          <w:trHeight w:val="34"/>
          <w:jc w:val="center"/>
        </w:trPr>
        <w:tc>
          <w:tcPr>
            <w:tcW w:w="5000" w:type="pct"/>
            <w:gridSpan w:val="5"/>
            <w:tcBorders>
              <w:top w:val="single"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6D9F1" w:themeFill="text2" w:themeFillTint="33"/>
          </w:tcPr>
          <w:p w:rsidR="00AE23DA" w:rsidRDefault="00AE23DA" w:rsidP="00B536D9">
            <w:pPr>
              <w:spacing w:after="0"/>
              <w:rPr>
                <w:b/>
                <w:bCs/>
              </w:rPr>
            </w:pPr>
            <w:r>
              <w:rPr>
                <w:b/>
                <w:bCs/>
              </w:rPr>
              <w:t xml:space="preserve">Past and ongoing projects </w:t>
            </w:r>
            <w:r w:rsidR="00B536D9">
              <w:rPr>
                <w:b/>
                <w:bCs/>
              </w:rPr>
              <w:t>involving Work on dataexchange platforms</w:t>
            </w:r>
          </w:p>
        </w:tc>
      </w:tr>
      <w:tr w:rsidR="00AE23DA" w:rsidRPr="00D176ED" w:rsidTr="00C671A6">
        <w:trPr>
          <w:trHeight w:val="34"/>
          <w:jc w:val="center"/>
        </w:trPr>
        <w:tc>
          <w:tcPr>
            <w:tcW w:w="919"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DBE5F1" w:themeFill="accent1" w:themeFillTint="33"/>
            <w:vAlign w:val="center"/>
          </w:tcPr>
          <w:p w:rsidR="00AE23DA" w:rsidRPr="00A47B7D" w:rsidRDefault="00AE23DA" w:rsidP="006D78AE">
            <w:pPr>
              <w:spacing w:after="0"/>
              <w:jc w:val="center"/>
              <w:rPr>
                <w:b/>
                <w:sz w:val="16"/>
              </w:rPr>
            </w:pPr>
            <w:r w:rsidRPr="00A47B7D">
              <w:rPr>
                <w:b/>
                <w:sz w:val="16"/>
              </w:rPr>
              <w:t>Project name</w:t>
            </w:r>
          </w:p>
        </w:tc>
        <w:tc>
          <w:tcPr>
            <w:tcW w:w="554"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DBE5F1" w:themeFill="accent1" w:themeFillTint="33"/>
            <w:vAlign w:val="center"/>
          </w:tcPr>
          <w:p w:rsidR="00AE23DA" w:rsidRPr="00A47B7D" w:rsidRDefault="00AE23DA" w:rsidP="006D78AE">
            <w:pPr>
              <w:spacing w:after="0"/>
              <w:jc w:val="center"/>
              <w:rPr>
                <w:b/>
                <w:sz w:val="16"/>
              </w:rPr>
            </w:pPr>
            <w:r w:rsidRPr="00A47B7D">
              <w:rPr>
                <w:b/>
                <w:sz w:val="16"/>
              </w:rPr>
              <w:t>Start &amp; end date</w:t>
            </w:r>
          </w:p>
        </w:tc>
        <w:tc>
          <w:tcPr>
            <w:tcW w:w="783"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DBE5F1" w:themeFill="accent1" w:themeFillTint="33"/>
            <w:vAlign w:val="center"/>
          </w:tcPr>
          <w:p w:rsidR="00AE23DA" w:rsidRPr="00A47B7D" w:rsidRDefault="00AE23DA" w:rsidP="006D78AE">
            <w:pPr>
              <w:spacing w:after="0"/>
              <w:jc w:val="center"/>
              <w:rPr>
                <w:b/>
                <w:sz w:val="16"/>
              </w:rPr>
            </w:pPr>
            <w:r w:rsidRPr="00A47B7D">
              <w:rPr>
                <w:b/>
                <w:sz w:val="16"/>
              </w:rPr>
              <w:t>Funding program</w:t>
            </w:r>
          </w:p>
        </w:tc>
        <w:tc>
          <w:tcPr>
            <w:tcW w:w="1176"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DBE5F1" w:themeFill="accent1" w:themeFillTint="33"/>
            <w:vAlign w:val="center"/>
          </w:tcPr>
          <w:p w:rsidR="00AE23DA" w:rsidRPr="00A47B7D" w:rsidRDefault="00AE23DA" w:rsidP="006D78AE">
            <w:pPr>
              <w:spacing w:after="0"/>
              <w:jc w:val="center"/>
              <w:rPr>
                <w:b/>
                <w:sz w:val="16"/>
              </w:rPr>
            </w:pPr>
            <w:r w:rsidRPr="00A47B7D">
              <w:rPr>
                <w:b/>
                <w:sz w:val="16"/>
              </w:rPr>
              <w:t>Role in the project</w:t>
            </w:r>
          </w:p>
        </w:tc>
        <w:tc>
          <w:tcPr>
            <w:tcW w:w="1568"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DBE5F1" w:themeFill="accent1" w:themeFillTint="33"/>
            <w:vAlign w:val="center"/>
          </w:tcPr>
          <w:p w:rsidR="00AE23DA" w:rsidRPr="00A47B7D" w:rsidRDefault="00AE23DA" w:rsidP="006D78AE">
            <w:pPr>
              <w:spacing w:after="0"/>
              <w:jc w:val="center"/>
              <w:rPr>
                <w:b/>
                <w:sz w:val="16"/>
              </w:rPr>
            </w:pPr>
            <w:r w:rsidRPr="00A47B7D">
              <w:rPr>
                <w:b/>
                <w:sz w:val="16"/>
              </w:rPr>
              <w:t>Assets provided to the proposal</w:t>
            </w:r>
          </w:p>
        </w:tc>
      </w:tr>
      <w:tr w:rsidR="00AE23DA" w:rsidRPr="00D176ED" w:rsidTr="00C671A6">
        <w:trPr>
          <w:trHeight w:val="34"/>
          <w:jc w:val="center"/>
        </w:trPr>
        <w:tc>
          <w:tcPr>
            <w:tcW w:w="919"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Pr="00A47B7D" w:rsidRDefault="00431A3D" w:rsidP="006D78AE">
            <w:pPr>
              <w:spacing w:after="0"/>
              <w:jc w:val="center"/>
              <w:rPr>
                <w:sz w:val="16"/>
              </w:rPr>
            </w:pPr>
            <w:r>
              <w:rPr>
                <w:sz w:val="16"/>
              </w:rPr>
              <w:t>AUTOPILOT (Automated Driving progressed by Internet of Things)</w:t>
            </w:r>
          </w:p>
        </w:tc>
        <w:tc>
          <w:tcPr>
            <w:tcW w:w="554"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Pr="00A47B7D" w:rsidRDefault="00431A3D" w:rsidP="006D78AE">
            <w:pPr>
              <w:spacing w:after="0"/>
              <w:jc w:val="center"/>
              <w:rPr>
                <w:sz w:val="16"/>
              </w:rPr>
            </w:pPr>
            <w:r>
              <w:rPr>
                <w:sz w:val="16"/>
              </w:rPr>
              <w:t>2017-2019</w:t>
            </w:r>
          </w:p>
        </w:tc>
        <w:tc>
          <w:tcPr>
            <w:tcW w:w="783"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auto"/>
            <w:vAlign w:val="center"/>
          </w:tcPr>
          <w:p w:rsidR="00AE23DA" w:rsidRPr="00A47B7D" w:rsidRDefault="00431A3D" w:rsidP="006D78AE">
            <w:pPr>
              <w:spacing w:after="0"/>
              <w:jc w:val="center"/>
              <w:rPr>
                <w:sz w:val="16"/>
              </w:rPr>
            </w:pPr>
            <w:r>
              <w:rPr>
                <w:sz w:val="16"/>
              </w:rPr>
              <w:t>H2020</w:t>
            </w:r>
          </w:p>
        </w:tc>
        <w:tc>
          <w:tcPr>
            <w:tcW w:w="1176"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Pr="00431A3D" w:rsidRDefault="00431A3D" w:rsidP="00431A3D">
            <w:pPr>
              <w:spacing w:after="0"/>
              <w:jc w:val="center"/>
              <w:rPr>
                <w:sz w:val="16"/>
                <w:lang w:val="en-IE"/>
              </w:rPr>
            </w:pPr>
            <w:r w:rsidRPr="00431A3D">
              <w:rPr>
                <w:sz w:val="16"/>
                <w:lang w:val="en-IE"/>
              </w:rPr>
              <w:t>AKKA is responsible of two main tasks for test data management using BigData technologies on one hand and safety critical aspects of automated driving on the other hand.</w:t>
            </w:r>
          </w:p>
        </w:tc>
        <w:tc>
          <w:tcPr>
            <w:tcW w:w="1568"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Default="00431A3D" w:rsidP="006D78AE">
            <w:pPr>
              <w:spacing w:after="0"/>
              <w:jc w:val="center"/>
              <w:rPr>
                <w:sz w:val="16"/>
                <w:lang w:val="en-IE"/>
              </w:rPr>
            </w:pPr>
            <w:r w:rsidRPr="00431A3D">
              <w:rPr>
                <w:sz w:val="16"/>
                <w:lang w:val="en-IE"/>
              </w:rPr>
              <w:t>BigData Collection/storage, real-time data collection, Stream processing, Stream Analytics, Machine learning, statistical models</w:t>
            </w:r>
          </w:p>
          <w:p w:rsidR="00431A3D" w:rsidRPr="00431A3D" w:rsidRDefault="00431A3D" w:rsidP="006D78AE">
            <w:pPr>
              <w:spacing w:after="0"/>
              <w:jc w:val="center"/>
              <w:rPr>
                <w:sz w:val="16"/>
                <w:lang w:val="en-IE"/>
              </w:rPr>
            </w:pPr>
            <w:r w:rsidRPr="00431A3D">
              <w:rPr>
                <w:sz w:val="16"/>
                <w:lang w:val="en-IE"/>
              </w:rPr>
              <w:t>Platooning functions (longitudinal and lateral without global references)</w:t>
            </w:r>
            <w:r>
              <w:rPr>
                <w:sz w:val="16"/>
                <w:lang w:val="en-IE"/>
              </w:rPr>
              <w:t xml:space="preserve"> and associated test data</w:t>
            </w:r>
            <w:r w:rsidR="00E148F0">
              <w:rPr>
                <w:sz w:val="16"/>
                <w:lang w:val="en-IE"/>
              </w:rPr>
              <w:t xml:space="preserve"> </w:t>
            </w:r>
            <w:r w:rsidR="00E148F0">
              <w:rPr>
                <w:sz w:val="16"/>
              </w:rPr>
              <w:t>on demonstrators.</w:t>
            </w:r>
          </w:p>
        </w:tc>
      </w:tr>
      <w:tr w:rsidR="00AE23DA" w:rsidRPr="00D176ED" w:rsidTr="00C671A6">
        <w:trPr>
          <w:trHeight w:val="34"/>
          <w:jc w:val="center"/>
        </w:trPr>
        <w:tc>
          <w:tcPr>
            <w:tcW w:w="919"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C671A6" w:rsidRDefault="00B7344E" w:rsidP="00C671A6">
            <w:pPr>
              <w:spacing w:after="0"/>
              <w:jc w:val="center"/>
              <w:rPr>
                <w:sz w:val="16"/>
              </w:rPr>
            </w:pPr>
            <w:r>
              <w:rPr>
                <w:sz w:val="16"/>
              </w:rPr>
              <w:t>ELVITEN</w:t>
            </w:r>
          </w:p>
          <w:p w:rsidR="00C671A6" w:rsidRPr="00C671A6" w:rsidRDefault="00E148F0" w:rsidP="00C671A6">
            <w:pPr>
              <w:spacing w:after="0"/>
              <w:jc w:val="center"/>
              <w:rPr>
                <w:sz w:val="16"/>
              </w:rPr>
            </w:pPr>
            <w:r>
              <w:rPr>
                <w:sz w:val="16"/>
              </w:rPr>
              <w:t>(</w:t>
            </w:r>
            <w:r w:rsidR="00C671A6">
              <w:rPr>
                <w:sz w:val="16"/>
              </w:rPr>
              <w:t>proposes replicable</w:t>
            </w:r>
          </w:p>
          <w:p w:rsidR="00C671A6" w:rsidRPr="00C671A6" w:rsidRDefault="00C671A6" w:rsidP="00C671A6">
            <w:pPr>
              <w:spacing w:after="0"/>
              <w:jc w:val="center"/>
              <w:rPr>
                <w:sz w:val="16"/>
              </w:rPr>
            </w:pPr>
            <w:r w:rsidRPr="00C671A6">
              <w:rPr>
                <w:sz w:val="16"/>
              </w:rPr>
              <w:t>usage schemes to boost ownership or shar</w:t>
            </w:r>
            <w:r>
              <w:rPr>
                <w:sz w:val="16"/>
              </w:rPr>
              <w:t xml:space="preserve">ing of all categories of EL-Vs </w:t>
            </w:r>
          </w:p>
          <w:p w:rsidR="00C671A6" w:rsidRPr="00C671A6" w:rsidRDefault="00C671A6" w:rsidP="00C671A6">
            <w:pPr>
              <w:spacing w:after="0"/>
              <w:jc w:val="center"/>
              <w:rPr>
                <w:sz w:val="16"/>
              </w:rPr>
            </w:pPr>
            <w:r w:rsidRPr="00C671A6">
              <w:rPr>
                <w:sz w:val="16"/>
              </w:rPr>
              <w:t>by systematic and occasional urban travellers</w:t>
            </w:r>
          </w:p>
          <w:p w:rsidR="00AE23DA" w:rsidRPr="00A47B7D" w:rsidRDefault="00C671A6" w:rsidP="00C671A6">
            <w:pPr>
              <w:spacing w:after="0"/>
              <w:jc w:val="center"/>
              <w:rPr>
                <w:sz w:val="16"/>
              </w:rPr>
            </w:pPr>
            <w:r w:rsidRPr="00C671A6">
              <w:rPr>
                <w:sz w:val="16"/>
              </w:rPr>
              <w:t>and by light delivery companies</w:t>
            </w:r>
            <w:r w:rsidR="00E148F0">
              <w:rPr>
                <w:sz w:val="16"/>
              </w:rPr>
              <w:t>)</w:t>
            </w:r>
          </w:p>
        </w:tc>
        <w:tc>
          <w:tcPr>
            <w:tcW w:w="554"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Pr="00A47B7D" w:rsidRDefault="00B7344E" w:rsidP="006D78AE">
            <w:pPr>
              <w:spacing w:after="0"/>
              <w:jc w:val="center"/>
              <w:rPr>
                <w:sz w:val="16"/>
              </w:rPr>
            </w:pPr>
            <w:r>
              <w:rPr>
                <w:sz w:val="16"/>
              </w:rPr>
              <w:t>2017-2020</w:t>
            </w:r>
          </w:p>
        </w:tc>
        <w:tc>
          <w:tcPr>
            <w:tcW w:w="783"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auto"/>
            <w:vAlign w:val="center"/>
          </w:tcPr>
          <w:p w:rsidR="00AE23DA" w:rsidRDefault="00C671A6" w:rsidP="006D78AE">
            <w:pPr>
              <w:spacing w:after="0"/>
              <w:jc w:val="center"/>
              <w:rPr>
                <w:sz w:val="16"/>
              </w:rPr>
            </w:pPr>
            <w:r>
              <w:rPr>
                <w:sz w:val="16"/>
              </w:rPr>
              <w:t>H2020</w:t>
            </w:r>
          </w:p>
          <w:p w:rsidR="00C671A6" w:rsidRDefault="003A4637" w:rsidP="006D78AE">
            <w:pPr>
              <w:spacing w:after="0"/>
              <w:jc w:val="center"/>
              <w:rPr>
                <w:sz w:val="16"/>
              </w:rPr>
            </w:pPr>
            <w:hyperlink r:id="rId7" w:history="1">
              <w:r w:rsidR="00C671A6" w:rsidRPr="00535E3B">
                <w:rPr>
                  <w:rStyle w:val="Lienhypertexte"/>
                  <w:sz w:val="16"/>
                </w:rPr>
                <w:t>www.elivten-project.eu</w:t>
              </w:r>
            </w:hyperlink>
          </w:p>
          <w:p w:rsidR="00C671A6" w:rsidRPr="00A47B7D" w:rsidRDefault="00C671A6" w:rsidP="006D78AE">
            <w:pPr>
              <w:spacing w:after="0"/>
              <w:jc w:val="center"/>
              <w:rPr>
                <w:sz w:val="16"/>
              </w:rPr>
            </w:pPr>
          </w:p>
        </w:tc>
        <w:tc>
          <w:tcPr>
            <w:tcW w:w="1176"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Pr="00A47B7D" w:rsidRDefault="0075246E" w:rsidP="00B536D9">
            <w:pPr>
              <w:spacing w:after="0"/>
              <w:jc w:val="center"/>
              <w:rPr>
                <w:sz w:val="16"/>
              </w:rPr>
            </w:pPr>
            <w:r w:rsidRPr="0075246E">
              <w:rPr>
                <w:sz w:val="16"/>
              </w:rPr>
              <w:t xml:space="preserve">AKKA </w:t>
            </w:r>
            <w:r>
              <w:rPr>
                <w:sz w:val="16"/>
              </w:rPr>
              <w:t xml:space="preserve">takes part in the services architecture design and implementation with focus on identiy management, privacy protection and brokering data streams for feeding </w:t>
            </w:r>
            <w:r w:rsidR="00B536D9">
              <w:rPr>
                <w:sz w:val="16"/>
              </w:rPr>
              <w:t xml:space="preserve">a </w:t>
            </w:r>
            <w:r>
              <w:rPr>
                <w:sz w:val="16"/>
              </w:rPr>
              <w:t xml:space="preserve">large data </w:t>
            </w:r>
            <w:r w:rsidR="00B536D9">
              <w:rPr>
                <w:sz w:val="16"/>
              </w:rPr>
              <w:t>warehouse</w:t>
            </w:r>
            <w:r>
              <w:rPr>
                <w:sz w:val="16"/>
              </w:rPr>
              <w:t xml:space="preserve"> before users behaviours analysis</w:t>
            </w:r>
            <w:r w:rsidRPr="0075246E">
              <w:rPr>
                <w:sz w:val="16"/>
              </w:rPr>
              <w:t>.</w:t>
            </w:r>
          </w:p>
        </w:tc>
        <w:tc>
          <w:tcPr>
            <w:tcW w:w="1568"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Default="0075246E" w:rsidP="001F6F2C">
            <w:pPr>
              <w:spacing w:after="0"/>
              <w:jc w:val="center"/>
              <w:rPr>
                <w:sz w:val="16"/>
              </w:rPr>
            </w:pPr>
            <w:r>
              <w:rPr>
                <w:sz w:val="16"/>
              </w:rPr>
              <w:t>Multi-tier systems connectivity and message brokering so</w:t>
            </w:r>
            <w:r w:rsidR="001F6F2C">
              <w:rPr>
                <w:sz w:val="16"/>
              </w:rPr>
              <w:t>l</w:t>
            </w:r>
            <w:r>
              <w:rPr>
                <w:sz w:val="16"/>
              </w:rPr>
              <w:t>utions in constrained environments (where in particular data privacy is sensible).</w:t>
            </w:r>
          </w:p>
          <w:p w:rsidR="001F6F2C" w:rsidRPr="00A47B7D" w:rsidRDefault="001F6F2C" w:rsidP="0024332D">
            <w:pPr>
              <w:spacing w:after="0"/>
              <w:jc w:val="center"/>
              <w:rPr>
                <w:sz w:val="16"/>
              </w:rPr>
            </w:pPr>
            <w:r>
              <w:rPr>
                <w:sz w:val="16"/>
              </w:rPr>
              <w:t>Identity Manager and authorisation Management, interoperability solutions</w:t>
            </w:r>
            <w:r w:rsidR="00B536D9">
              <w:rPr>
                <w:sz w:val="16"/>
              </w:rPr>
              <w:t xml:space="preserve"> for data collection, curation and storage in Data Warehouse. Analytics Services/Data Vizualisation</w:t>
            </w:r>
            <w:r w:rsidR="0024332D">
              <w:rPr>
                <w:sz w:val="16"/>
              </w:rPr>
              <w:t xml:space="preserve"> modules.</w:t>
            </w:r>
          </w:p>
        </w:tc>
      </w:tr>
      <w:tr w:rsidR="00AE23DA" w:rsidRPr="00D176ED" w:rsidTr="00C671A6">
        <w:trPr>
          <w:trHeight w:val="34"/>
          <w:jc w:val="center"/>
        </w:trPr>
        <w:tc>
          <w:tcPr>
            <w:tcW w:w="919"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Pr="00A47B7D" w:rsidRDefault="00B7344E" w:rsidP="00E148F0">
            <w:pPr>
              <w:spacing w:after="0"/>
              <w:jc w:val="center"/>
              <w:rPr>
                <w:sz w:val="16"/>
              </w:rPr>
            </w:pPr>
            <w:r>
              <w:rPr>
                <w:sz w:val="16"/>
              </w:rPr>
              <w:t>EU-SYSFLEX</w:t>
            </w:r>
            <w:r w:rsidR="00E148F0">
              <w:rPr>
                <w:sz w:val="16"/>
              </w:rPr>
              <w:t xml:space="preserve"> (</w:t>
            </w:r>
            <w:r w:rsidR="007A4C4E" w:rsidRPr="007A4C4E">
              <w:rPr>
                <w:sz w:val="16"/>
              </w:rPr>
              <w:t>Pan-European system with an efficient coordinated use of flexibilities for the int</w:t>
            </w:r>
            <w:r w:rsidR="007A4C4E">
              <w:rPr>
                <w:sz w:val="16"/>
              </w:rPr>
              <w:t>egration of a large share of Renewable Energy Sources</w:t>
            </w:r>
            <w:r w:rsidR="00E148F0">
              <w:rPr>
                <w:sz w:val="16"/>
              </w:rPr>
              <w:t>)</w:t>
            </w:r>
          </w:p>
        </w:tc>
        <w:tc>
          <w:tcPr>
            <w:tcW w:w="554"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Pr="00A47B7D" w:rsidRDefault="00B7344E" w:rsidP="006D78AE">
            <w:pPr>
              <w:spacing w:after="0"/>
              <w:jc w:val="center"/>
              <w:rPr>
                <w:sz w:val="16"/>
              </w:rPr>
            </w:pPr>
            <w:r>
              <w:rPr>
                <w:sz w:val="16"/>
              </w:rPr>
              <w:t>2017-2021</w:t>
            </w:r>
          </w:p>
        </w:tc>
        <w:tc>
          <w:tcPr>
            <w:tcW w:w="783"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auto"/>
            <w:vAlign w:val="center"/>
          </w:tcPr>
          <w:p w:rsidR="00AE23DA" w:rsidRDefault="00B7344E" w:rsidP="00B7344E">
            <w:pPr>
              <w:spacing w:after="0"/>
              <w:jc w:val="center"/>
              <w:rPr>
                <w:sz w:val="16"/>
              </w:rPr>
            </w:pPr>
            <w:r>
              <w:rPr>
                <w:sz w:val="16"/>
              </w:rPr>
              <w:t>H2020</w:t>
            </w:r>
          </w:p>
          <w:p w:rsidR="00B7344E" w:rsidRDefault="003A4637" w:rsidP="00B7344E">
            <w:pPr>
              <w:spacing w:after="0"/>
              <w:jc w:val="center"/>
              <w:rPr>
                <w:sz w:val="16"/>
              </w:rPr>
            </w:pPr>
            <w:hyperlink r:id="rId8" w:history="1">
              <w:r w:rsidR="00B7344E" w:rsidRPr="00535E3B">
                <w:rPr>
                  <w:rStyle w:val="Lienhypertexte"/>
                  <w:sz w:val="16"/>
                </w:rPr>
                <w:t>www.eu-sysflex.com</w:t>
              </w:r>
            </w:hyperlink>
          </w:p>
          <w:p w:rsidR="00B7344E" w:rsidRPr="00A47B7D" w:rsidRDefault="00B7344E" w:rsidP="00B7344E">
            <w:pPr>
              <w:spacing w:after="0"/>
              <w:jc w:val="center"/>
              <w:rPr>
                <w:sz w:val="16"/>
              </w:rPr>
            </w:pPr>
          </w:p>
        </w:tc>
        <w:tc>
          <w:tcPr>
            <w:tcW w:w="1176"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Pr="00A47B7D" w:rsidRDefault="00E148F0" w:rsidP="00DB7744">
            <w:pPr>
              <w:spacing w:after="0"/>
              <w:jc w:val="center"/>
              <w:rPr>
                <w:sz w:val="16"/>
              </w:rPr>
            </w:pPr>
            <w:r w:rsidRPr="00E148F0">
              <w:rPr>
                <w:sz w:val="16"/>
              </w:rPr>
              <w:t xml:space="preserve">AKKA </w:t>
            </w:r>
            <w:r w:rsidR="003105D2">
              <w:rPr>
                <w:sz w:val="16"/>
              </w:rPr>
              <w:t>contributes</w:t>
            </w:r>
            <w:r w:rsidRPr="00E148F0">
              <w:rPr>
                <w:sz w:val="16"/>
              </w:rPr>
              <w:t xml:space="preserve"> in </w:t>
            </w:r>
            <w:r w:rsidR="003105D2">
              <w:rPr>
                <w:sz w:val="16"/>
              </w:rPr>
              <w:t xml:space="preserve">the elicitatioon of business and system use cases, </w:t>
            </w:r>
            <w:r w:rsidR="003105D2" w:rsidRPr="003105D2">
              <w:rPr>
                <w:sz w:val="16"/>
              </w:rPr>
              <w:t>Data management for facilitation of flexibility exchanges</w:t>
            </w:r>
            <w:r w:rsidR="00DB7744">
              <w:rPr>
                <w:sz w:val="16"/>
              </w:rPr>
              <w:t xml:space="preserve"> between Energy operators, aggregators and consumers.</w:t>
            </w:r>
          </w:p>
        </w:tc>
        <w:tc>
          <w:tcPr>
            <w:tcW w:w="1568"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E23DA" w:rsidRPr="00A47B7D" w:rsidRDefault="00DB7744" w:rsidP="0024332D">
            <w:pPr>
              <w:spacing w:after="0"/>
              <w:jc w:val="center"/>
              <w:rPr>
                <w:sz w:val="16"/>
              </w:rPr>
            </w:pPr>
            <w:r>
              <w:rPr>
                <w:sz w:val="16"/>
              </w:rPr>
              <w:t>D</w:t>
            </w:r>
            <w:r w:rsidR="003105D2">
              <w:rPr>
                <w:sz w:val="16"/>
              </w:rPr>
              <w:t xml:space="preserve">evelopment of </w:t>
            </w:r>
            <w:r w:rsidR="003105D2" w:rsidRPr="003105D2">
              <w:rPr>
                <w:sz w:val="16"/>
              </w:rPr>
              <w:t>Data exchange conceptual model</w:t>
            </w:r>
            <w:r>
              <w:rPr>
                <w:sz w:val="16"/>
              </w:rPr>
              <w:t xml:space="preserve">s, interoperability modules </w:t>
            </w:r>
            <w:r w:rsidR="0024332D">
              <w:rPr>
                <w:sz w:val="16"/>
              </w:rPr>
              <w:t>between operators platforms,</w:t>
            </w:r>
            <w:r>
              <w:rPr>
                <w:sz w:val="16"/>
              </w:rPr>
              <w:t>and privacy protection</w:t>
            </w:r>
            <w:r w:rsidR="0024332D">
              <w:rPr>
                <w:sz w:val="16"/>
              </w:rPr>
              <w:t xml:space="preserve"> functions</w:t>
            </w:r>
            <w:r w:rsidR="00C44482">
              <w:rPr>
                <w:sz w:val="16"/>
              </w:rPr>
              <w:t xml:space="preserve">, </w:t>
            </w:r>
            <w:r>
              <w:rPr>
                <w:sz w:val="16"/>
              </w:rPr>
              <w:t>bigdata reference architectures for collection of large datasets (e.g. from IoT platforms acting on smart meters)</w:t>
            </w:r>
            <w:r w:rsidR="0024332D">
              <w:rPr>
                <w:sz w:val="16"/>
              </w:rPr>
              <w:t xml:space="preserve">, ML-based modules </w:t>
            </w:r>
            <w:r>
              <w:rPr>
                <w:sz w:val="16"/>
              </w:rPr>
              <w:t>for optimisation of use of flexibility services.</w:t>
            </w:r>
          </w:p>
        </w:tc>
      </w:tr>
      <w:tr w:rsidR="003105D2" w:rsidRPr="00D176ED" w:rsidTr="00C671A6">
        <w:trPr>
          <w:trHeight w:val="34"/>
          <w:jc w:val="center"/>
        </w:trPr>
        <w:tc>
          <w:tcPr>
            <w:tcW w:w="919"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3105D2" w:rsidRDefault="003105D2" w:rsidP="00E148F0">
            <w:pPr>
              <w:spacing w:after="0"/>
              <w:jc w:val="center"/>
              <w:rPr>
                <w:sz w:val="16"/>
              </w:rPr>
            </w:pPr>
            <w:r>
              <w:rPr>
                <w:sz w:val="16"/>
              </w:rPr>
              <w:t>CLARUS</w:t>
            </w:r>
          </w:p>
          <w:p w:rsidR="003105D2" w:rsidRDefault="003105D2" w:rsidP="00E148F0">
            <w:pPr>
              <w:spacing w:after="0"/>
              <w:jc w:val="center"/>
              <w:rPr>
                <w:sz w:val="16"/>
              </w:rPr>
            </w:pPr>
            <w:r>
              <w:rPr>
                <w:sz w:val="16"/>
              </w:rPr>
              <w:t>(</w:t>
            </w:r>
            <w:r w:rsidRPr="003105D2">
              <w:rPr>
                <w:sz w:val="16"/>
              </w:rPr>
              <w:t xml:space="preserve">develops new solutions for trusted and secured data management in the Cloud. </w:t>
            </w:r>
            <w:r w:rsidRPr="003105D2">
              <w:rPr>
                <w:sz w:val="16"/>
              </w:rPr>
              <w:lastRenderedPageBreak/>
              <w:t>Anonymisation, Encryption, Split&amp;Merge,... for Database and Web Services Protocols (eHealth and GIS demonstrators).</w:t>
            </w:r>
          </w:p>
        </w:tc>
        <w:tc>
          <w:tcPr>
            <w:tcW w:w="554"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3105D2" w:rsidRDefault="003105D2" w:rsidP="006D78AE">
            <w:pPr>
              <w:spacing w:after="0"/>
              <w:jc w:val="center"/>
              <w:rPr>
                <w:sz w:val="16"/>
              </w:rPr>
            </w:pPr>
            <w:r>
              <w:rPr>
                <w:sz w:val="16"/>
              </w:rPr>
              <w:lastRenderedPageBreak/>
              <w:t>2015-2017</w:t>
            </w:r>
          </w:p>
        </w:tc>
        <w:tc>
          <w:tcPr>
            <w:tcW w:w="783"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auto"/>
            <w:vAlign w:val="center"/>
          </w:tcPr>
          <w:p w:rsidR="003105D2" w:rsidRDefault="003105D2" w:rsidP="00B7344E">
            <w:pPr>
              <w:spacing w:after="0"/>
              <w:jc w:val="center"/>
              <w:rPr>
                <w:sz w:val="16"/>
              </w:rPr>
            </w:pPr>
            <w:r>
              <w:rPr>
                <w:sz w:val="16"/>
              </w:rPr>
              <w:t>H2020</w:t>
            </w:r>
          </w:p>
          <w:p w:rsidR="003105D2" w:rsidRDefault="003105D2" w:rsidP="00B7344E">
            <w:pPr>
              <w:spacing w:after="0"/>
              <w:jc w:val="center"/>
              <w:rPr>
                <w:sz w:val="16"/>
              </w:rPr>
            </w:pPr>
            <w:hyperlink r:id="rId9" w:history="1">
              <w:r w:rsidRPr="00535E3B">
                <w:rPr>
                  <w:rStyle w:val="Lienhypertexte"/>
                  <w:sz w:val="16"/>
                </w:rPr>
                <w:t>www.clarus-secure.eu</w:t>
              </w:r>
            </w:hyperlink>
          </w:p>
        </w:tc>
        <w:tc>
          <w:tcPr>
            <w:tcW w:w="1176"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24332D" w:rsidRPr="00E148F0" w:rsidRDefault="0024332D" w:rsidP="0024332D">
            <w:pPr>
              <w:spacing w:after="0"/>
              <w:jc w:val="center"/>
              <w:rPr>
                <w:sz w:val="16"/>
              </w:rPr>
            </w:pPr>
            <w:r>
              <w:rPr>
                <w:sz w:val="16"/>
              </w:rPr>
              <w:t>AKKA acted as technical lead in the definition of the architecture and the implementation of CLARUS-Proxy between trusted zone and a Public cloud.</w:t>
            </w:r>
          </w:p>
        </w:tc>
        <w:tc>
          <w:tcPr>
            <w:tcW w:w="1568"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3105D2" w:rsidRDefault="0024332D" w:rsidP="0024332D">
            <w:pPr>
              <w:spacing w:after="0"/>
              <w:jc w:val="center"/>
              <w:rPr>
                <w:sz w:val="16"/>
              </w:rPr>
            </w:pPr>
            <w:r>
              <w:rPr>
                <w:sz w:val="16"/>
              </w:rPr>
              <w:t>An open and flexible data proteciton proxy that accomodates standard protocols (e.g. PostgreSQL, WMF/WFS) and security techniques such as anonymisation, searchable encryption, data slit&amp;merge,..</w:t>
            </w:r>
          </w:p>
          <w:p w:rsidR="0024332D" w:rsidRDefault="0024332D" w:rsidP="0024332D">
            <w:pPr>
              <w:spacing w:after="0"/>
              <w:jc w:val="center"/>
              <w:rPr>
                <w:sz w:val="16"/>
              </w:rPr>
            </w:pPr>
            <w:r>
              <w:rPr>
                <w:sz w:val="16"/>
              </w:rPr>
              <w:lastRenderedPageBreak/>
              <w:t>A dataviewer that allows enduser to view and trust applied securty techniques and transfer of secured private data in a Cloud</w:t>
            </w:r>
          </w:p>
        </w:tc>
      </w:tr>
    </w:tbl>
    <w:p w:rsidR="00737419" w:rsidRDefault="00737419" w:rsidP="0084759C"/>
    <w:tbl>
      <w:tblPr>
        <w:tblpPr w:leftFromText="181" w:rightFromText="181" w:vertAnchor="text" w:horzAnchor="margin" w:tblpY="395"/>
        <w:tblOverlap w:val="never"/>
        <w:tblW w:w="4989" w:type="pct"/>
        <w:tblCellMar>
          <w:top w:w="28" w:type="dxa"/>
          <w:left w:w="113" w:type="dxa"/>
          <w:bottom w:w="28" w:type="dxa"/>
          <w:right w:w="113" w:type="dxa"/>
        </w:tblCellMar>
        <w:tblLook w:val="04A0" w:firstRow="1" w:lastRow="0" w:firstColumn="1" w:lastColumn="0" w:noHBand="0" w:noVBand="1"/>
      </w:tblPr>
      <w:tblGrid>
        <w:gridCol w:w="2523"/>
        <w:gridCol w:w="6521"/>
      </w:tblGrid>
      <w:tr w:rsidR="00A47B7D" w:rsidRPr="006F7DDB" w:rsidTr="00A47B7D">
        <w:trPr>
          <w:trHeight w:val="34"/>
        </w:trPr>
        <w:tc>
          <w:tcPr>
            <w:tcW w:w="5000" w:type="pct"/>
            <w:gridSpan w:val="2"/>
            <w:tcBorders>
              <w:top w:val="single"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6D9F1" w:themeFill="text2" w:themeFillTint="33"/>
          </w:tcPr>
          <w:p w:rsidR="00A47B7D" w:rsidRDefault="00A47B7D" w:rsidP="006D78AE">
            <w:pPr>
              <w:spacing w:after="0"/>
              <w:rPr>
                <w:b/>
                <w:bCs/>
              </w:rPr>
            </w:pPr>
            <w:r>
              <w:rPr>
                <w:b/>
                <w:bCs/>
              </w:rPr>
              <w:t>Proposed scope of work of your organisation within the project</w:t>
            </w:r>
            <w:r w:rsidR="00AE23DA">
              <w:rPr>
                <w:b/>
                <w:bCs/>
              </w:rPr>
              <w:t xml:space="preserve"> (use as many </w:t>
            </w:r>
            <w:r w:rsidR="006D78AE">
              <w:rPr>
                <w:b/>
                <w:bCs/>
              </w:rPr>
              <w:t>rows</w:t>
            </w:r>
            <w:r w:rsidR="00AE23DA">
              <w:rPr>
                <w:b/>
                <w:bCs/>
              </w:rPr>
              <w:t xml:space="preserve"> as needed)</w:t>
            </w:r>
          </w:p>
        </w:tc>
      </w:tr>
      <w:tr w:rsidR="00A47B7D" w:rsidRPr="00D176ED" w:rsidTr="00A47B7D">
        <w:trPr>
          <w:trHeight w:val="34"/>
        </w:trPr>
        <w:tc>
          <w:tcPr>
            <w:tcW w:w="1395"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DBE5F1" w:themeFill="accent1" w:themeFillTint="33"/>
            <w:vAlign w:val="center"/>
          </w:tcPr>
          <w:p w:rsidR="00A47B7D" w:rsidRPr="00A47B7D" w:rsidRDefault="006D78AE" w:rsidP="00A47B7D">
            <w:pPr>
              <w:spacing w:after="0"/>
              <w:jc w:val="center"/>
              <w:rPr>
                <w:b/>
                <w:sz w:val="16"/>
              </w:rPr>
            </w:pPr>
            <w:r>
              <w:rPr>
                <w:b/>
                <w:sz w:val="16"/>
              </w:rPr>
              <w:t xml:space="preserve">Objective </w:t>
            </w:r>
            <w:r w:rsidR="00A47B7D">
              <w:rPr>
                <w:b/>
                <w:sz w:val="16"/>
              </w:rPr>
              <w:t>addressed</w:t>
            </w:r>
          </w:p>
        </w:tc>
        <w:tc>
          <w:tcPr>
            <w:tcW w:w="3605"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shd w:val="clear" w:color="auto" w:fill="DBE5F1" w:themeFill="accent1" w:themeFillTint="33"/>
            <w:vAlign w:val="center"/>
          </w:tcPr>
          <w:p w:rsidR="00A47B7D" w:rsidRPr="00A47B7D" w:rsidRDefault="00A47B7D" w:rsidP="00A47B7D">
            <w:pPr>
              <w:spacing w:after="0"/>
              <w:jc w:val="center"/>
              <w:rPr>
                <w:b/>
                <w:sz w:val="16"/>
              </w:rPr>
            </w:pPr>
            <w:r>
              <w:rPr>
                <w:b/>
                <w:sz w:val="16"/>
              </w:rPr>
              <w:t>Proposed activities</w:t>
            </w:r>
          </w:p>
        </w:tc>
      </w:tr>
      <w:tr w:rsidR="00A47B7D" w:rsidRPr="00D176ED" w:rsidTr="00A47B7D">
        <w:trPr>
          <w:trHeight w:val="34"/>
        </w:trPr>
        <w:tc>
          <w:tcPr>
            <w:tcW w:w="1395"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A47B7D" w:rsidRDefault="00F36E59" w:rsidP="00A47B7D">
            <w:pPr>
              <w:spacing w:after="0"/>
              <w:jc w:val="center"/>
              <w:rPr>
                <w:i/>
                <w:sz w:val="16"/>
              </w:rPr>
            </w:pPr>
            <w:r>
              <w:rPr>
                <w:i/>
                <w:sz w:val="16"/>
              </w:rPr>
              <w:t xml:space="preserve">More open and flexible solutions for end-users wishing to gain and improve control on </w:t>
            </w:r>
            <w:r w:rsidR="003A4637">
              <w:rPr>
                <w:i/>
                <w:sz w:val="16"/>
              </w:rPr>
              <w:t>its smart building assets</w:t>
            </w:r>
            <w:bookmarkStart w:id="0" w:name="_GoBack"/>
            <w:bookmarkEnd w:id="0"/>
            <w:r>
              <w:rPr>
                <w:i/>
                <w:sz w:val="16"/>
              </w:rPr>
              <w:t xml:space="preserve"> </w:t>
            </w:r>
          </w:p>
        </w:tc>
        <w:tc>
          <w:tcPr>
            <w:tcW w:w="3605" w:type="pct"/>
            <w:tcBorders>
              <w:top w:val="single" w:sz="4" w:space="0" w:color="7F7F7F" w:themeColor="text1" w:themeTint="80"/>
              <w:left w:val="single" w:sz="4" w:space="0" w:color="A6A6A6" w:themeColor="background1" w:themeShade="A6"/>
              <w:bottom w:val="single" w:sz="4" w:space="0" w:color="7F7F7F" w:themeColor="text1" w:themeTint="80"/>
              <w:right w:val="single" w:sz="4" w:space="0" w:color="A6A6A6" w:themeColor="background1" w:themeShade="A6"/>
            </w:tcBorders>
            <w:vAlign w:val="center"/>
          </w:tcPr>
          <w:p w:rsidR="009E67E1" w:rsidRDefault="00C44482" w:rsidP="009E67E1">
            <w:pPr>
              <w:jc w:val="center"/>
              <w:rPr>
                <w:b/>
                <w:sz w:val="16"/>
                <w:szCs w:val="16"/>
              </w:rPr>
            </w:pPr>
            <w:r>
              <w:rPr>
                <w:b/>
                <w:sz w:val="16"/>
                <w:szCs w:val="16"/>
              </w:rPr>
              <w:t>Smart contracts and End-users tools for Flexibility Services</w:t>
            </w:r>
          </w:p>
          <w:p w:rsidR="000E7FDE" w:rsidRDefault="00C44482" w:rsidP="009E67E1">
            <w:pPr>
              <w:jc w:val="both"/>
              <w:rPr>
                <w:sz w:val="16"/>
                <w:szCs w:val="16"/>
              </w:rPr>
            </w:pPr>
            <w:r w:rsidRPr="00C44482">
              <w:rPr>
                <w:sz w:val="16"/>
                <w:szCs w:val="16"/>
              </w:rPr>
              <w:t xml:space="preserve">The </w:t>
            </w:r>
            <w:r>
              <w:rPr>
                <w:sz w:val="16"/>
                <w:szCs w:val="16"/>
              </w:rPr>
              <w:t>exploitation</w:t>
            </w:r>
            <w:r w:rsidRPr="00C44482">
              <w:rPr>
                <w:sz w:val="16"/>
                <w:szCs w:val="16"/>
              </w:rPr>
              <w:t xml:space="preserve"> of flexibility services in citizens home, in industry or public buildings is on its way and numerous examples </w:t>
            </w:r>
            <w:r>
              <w:rPr>
                <w:sz w:val="16"/>
                <w:szCs w:val="16"/>
              </w:rPr>
              <w:t xml:space="preserve">of deployments in several countries are available. Several actors are positioned on the market leveraging on the installation of smart devices (connected and </w:t>
            </w:r>
            <w:r w:rsidR="004A519B">
              <w:rPr>
                <w:sz w:val="16"/>
                <w:szCs w:val="16"/>
              </w:rPr>
              <w:t xml:space="preserve">remotely controlled </w:t>
            </w:r>
            <w:r>
              <w:rPr>
                <w:sz w:val="16"/>
                <w:szCs w:val="16"/>
              </w:rPr>
              <w:t>meters, actuators</w:t>
            </w:r>
            <w:r w:rsidR="004A519B">
              <w:rPr>
                <w:sz w:val="16"/>
                <w:szCs w:val="16"/>
              </w:rPr>
              <w:t xml:space="preserve">…) that allow for fine-tuned exploitation of possible renewable energy sources (PhotoVoltaic roofs, wind turbines…) and control of electricity consumption (turning on/off heating devices, planning the start of production stages in the industry at a certain point of time depending on electricity market prices etc.). </w:t>
            </w:r>
          </w:p>
          <w:p w:rsidR="004A519B" w:rsidRDefault="004A519B" w:rsidP="009E67E1">
            <w:pPr>
              <w:jc w:val="both"/>
              <w:rPr>
                <w:sz w:val="16"/>
                <w:szCs w:val="16"/>
              </w:rPr>
            </w:pPr>
            <w:r>
              <w:rPr>
                <w:sz w:val="16"/>
                <w:szCs w:val="16"/>
              </w:rPr>
              <w:t>The advantages for both electricity consumers and producers / distributors can be immense with optimised consumption and then price paid for the energy, monetization of the flexibility, proper exploitation of immediately available sources of energy to be injected in the grid (reactive power management), technical frequency regulation and so on.</w:t>
            </w:r>
          </w:p>
          <w:p w:rsidR="004A519B" w:rsidRDefault="004A519B" w:rsidP="009E67E1">
            <w:pPr>
              <w:jc w:val="both"/>
              <w:rPr>
                <w:sz w:val="16"/>
                <w:szCs w:val="16"/>
              </w:rPr>
            </w:pPr>
            <w:r>
              <w:rPr>
                <w:sz w:val="16"/>
                <w:szCs w:val="16"/>
              </w:rPr>
              <w:t xml:space="preserve">Several actors propose boxes and associtaed services that offer “Energy Intelligence and Automation”. Software solution mainly rely on predictive systems using AI technologies and leveraging on large IoT networks at the home, quartier, industry plant, village/city level. </w:t>
            </w:r>
          </w:p>
          <w:p w:rsidR="00F36E59" w:rsidRDefault="00F36E59" w:rsidP="009E67E1">
            <w:pPr>
              <w:jc w:val="both"/>
              <w:rPr>
                <w:sz w:val="16"/>
                <w:szCs w:val="16"/>
              </w:rPr>
            </w:pPr>
            <w:r>
              <w:rPr>
                <w:sz w:val="16"/>
                <w:szCs w:val="16"/>
              </w:rPr>
              <w:t xml:space="preserve">These solutions are accompanied with various tools dedicated to the end-user in order to facilitate monitoring of what is currently happening, what is planned, its gains and in order to facilitate monetization of its sources of energy on the market. </w:t>
            </w:r>
          </w:p>
          <w:p w:rsidR="00F36E59" w:rsidRDefault="00F36E59" w:rsidP="009E67E1">
            <w:pPr>
              <w:jc w:val="both"/>
              <w:rPr>
                <w:sz w:val="16"/>
                <w:szCs w:val="16"/>
              </w:rPr>
            </w:pPr>
            <w:r>
              <w:rPr>
                <w:sz w:val="16"/>
                <w:szCs w:val="16"/>
              </w:rPr>
              <w:t xml:space="preserve">OWE will be able to propose more transparency in the contractualisation between end-users energy aggregators, distributors and providers of smart building solutions by proposing a standardized conceptual data formats, interoperability of serivces, customized monitoring and supervision functions. We intend to develop “didactic” tools that focus on simplicity and  openess without downsizing possibilities for end-users to benefit at most from operators competition, from the flexibility services he/she can offers from his/her installation, especially, RES. </w:t>
            </w:r>
          </w:p>
          <w:p w:rsidR="00F36E59" w:rsidRDefault="00F36E59" w:rsidP="009E67E1">
            <w:pPr>
              <w:jc w:val="both"/>
              <w:rPr>
                <w:sz w:val="16"/>
                <w:szCs w:val="16"/>
              </w:rPr>
            </w:pPr>
            <w:r>
              <w:rPr>
                <w:sz w:val="16"/>
                <w:szCs w:val="16"/>
              </w:rPr>
              <w:t xml:space="preserve">We intend to use Distributed Ledger Technologies for proper contractualisation issues, Semantic Web (Linked Open Data) ontologies and databases for conceptualisation and knowledge modeling of smart grids, smart building functions and assets while ensuring data privacy using for instance solutions we devloped in former project CLARUS. </w:t>
            </w:r>
          </w:p>
          <w:p w:rsidR="00F36E59" w:rsidRDefault="004A519B" w:rsidP="00F36E59">
            <w:pPr>
              <w:jc w:val="both"/>
              <w:rPr>
                <w:sz w:val="16"/>
                <w:szCs w:val="16"/>
              </w:rPr>
            </w:pPr>
            <w:r>
              <w:rPr>
                <w:sz w:val="16"/>
                <w:szCs w:val="16"/>
              </w:rPr>
              <w:t xml:space="preserve">We propose to base developments on specific use cases such as explicit demand-response in Electrical Vehicle charging networks (the EV and/or Batterie Management Storage installations being mobilized for reactive power or frequency regulation).  </w:t>
            </w:r>
            <w:r w:rsidR="00F36E59">
              <w:rPr>
                <w:sz w:val="16"/>
                <w:szCs w:val="16"/>
              </w:rPr>
              <w:t xml:space="preserve">Other Use cases to be detailed </w:t>
            </w:r>
            <w:r w:rsidR="00F36E59">
              <w:rPr>
                <w:sz w:val="16"/>
                <w:szCs w:val="16"/>
              </w:rPr>
              <w:lastRenderedPageBreak/>
              <w:t>in the future.</w:t>
            </w:r>
          </w:p>
          <w:p w:rsidR="005939DE" w:rsidRPr="00A350B3" w:rsidRDefault="00CB76CA" w:rsidP="00CB76CA">
            <w:pPr>
              <w:jc w:val="both"/>
              <w:rPr>
                <w:sz w:val="16"/>
                <w:szCs w:val="16"/>
                <w:lang w:val="en-US"/>
              </w:rPr>
            </w:pPr>
            <w:r>
              <w:rPr>
                <w:sz w:val="16"/>
                <w:szCs w:val="16"/>
              </w:rPr>
              <w:t xml:space="preserve"> </w:t>
            </w:r>
          </w:p>
        </w:tc>
      </w:tr>
    </w:tbl>
    <w:p w:rsidR="00A47B7D" w:rsidRDefault="00A47B7D" w:rsidP="00AE23DA"/>
    <w:sectPr w:rsidR="00A47B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59C"/>
    <w:rsid w:val="00004C46"/>
    <w:rsid w:val="000104AD"/>
    <w:rsid w:val="00021F16"/>
    <w:rsid w:val="00041441"/>
    <w:rsid w:val="0005340A"/>
    <w:rsid w:val="000561FE"/>
    <w:rsid w:val="00067B54"/>
    <w:rsid w:val="00083BC0"/>
    <w:rsid w:val="000972DD"/>
    <w:rsid w:val="000C0B24"/>
    <w:rsid w:val="000C34E5"/>
    <w:rsid w:val="000C3774"/>
    <w:rsid w:val="000C6914"/>
    <w:rsid w:val="000D7508"/>
    <w:rsid w:val="000E7FDE"/>
    <w:rsid w:val="0012001F"/>
    <w:rsid w:val="00131D9D"/>
    <w:rsid w:val="001404EA"/>
    <w:rsid w:val="0014097E"/>
    <w:rsid w:val="00145F02"/>
    <w:rsid w:val="00157DA6"/>
    <w:rsid w:val="00163237"/>
    <w:rsid w:val="00167E71"/>
    <w:rsid w:val="001B176E"/>
    <w:rsid w:val="001D5D0D"/>
    <w:rsid w:val="001F6F2C"/>
    <w:rsid w:val="00207CD7"/>
    <w:rsid w:val="002222EE"/>
    <w:rsid w:val="002266F1"/>
    <w:rsid w:val="0024332D"/>
    <w:rsid w:val="002512B2"/>
    <w:rsid w:val="0026257B"/>
    <w:rsid w:val="00272612"/>
    <w:rsid w:val="00282734"/>
    <w:rsid w:val="002A1835"/>
    <w:rsid w:val="002C13EC"/>
    <w:rsid w:val="002C3ECE"/>
    <w:rsid w:val="002D28C2"/>
    <w:rsid w:val="002E0B8C"/>
    <w:rsid w:val="002E7DF6"/>
    <w:rsid w:val="002F00F0"/>
    <w:rsid w:val="002F2D2F"/>
    <w:rsid w:val="002F478A"/>
    <w:rsid w:val="003003D4"/>
    <w:rsid w:val="003105D2"/>
    <w:rsid w:val="00321689"/>
    <w:rsid w:val="00331EED"/>
    <w:rsid w:val="0033628B"/>
    <w:rsid w:val="00356A56"/>
    <w:rsid w:val="003662DE"/>
    <w:rsid w:val="00386ACD"/>
    <w:rsid w:val="00395CBF"/>
    <w:rsid w:val="0039774A"/>
    <w:rsid w:val="003A4637"/>
    <w:rsid w:val="003B551B"/>
    <w:rsid w:val="003E22F4"/>
    <w:rsid w:val="003F419E"/>
    <w:rsid w:val="00425D62"/>
    <w:rsid w:val="00431A3D"/>
    <w:rsid w:val="0046107E"/>
    <w:rsid w:val="0047719E"/>
    <w:rsid w:val="00481E43"/>
    <w:rsid w:val="00483D62"/>
    <w:rsid w:val="00486231"/>
    <w:rsid w:val="004A1152"/>
    <w:rsid w:val="004A519B"/>
    <w:rsid w:val="004B4FF8"/>
    <w:rsid w:val="004E10FD"/>
    <w:rsid w:val="00500149"/>
    <w:rsid w:val="0053631A"/>
    <w:rsid w:val="00542CD1"/>
    <w:rsid w:val="005473D3"/>
    <w:rsid w:val="00550C67"/>
    <w:rsid w:val="00557B1E"/>
    <w:rsid w:val="00563E9C"/>
    <w:rsid w:val="00582B31"/>
    <w:rsid w:val="005873DF"/>
    <w:rsid w:val="005939DE"/>
    <w:rsid w:val="005A57CA"/>
    <w:rsid w:val="005B0DB5"/>
    <w:rsid w:val="005B58C2"/>
    <w:rsid w:val="005C0817"/>
    <w:rsid w:val="005E377C"/>
    <w:rsid w:val="005E441E"/>
    <w:rsid w:val="005E50FD"/>
    <w:rsid w:val="005F21E9"/>
    <w:rsid w:val="006306AA"/>
    <w:rsid w:val="0063086D"/>
    <w:rsid w:val="00663028"/>
    <w:rsid w:val="00672772"/>
    <w:rsid w:val="00692E47"/>
    <w:rsid w:val="006C2700"/>
    <w:rsid w:val="006C571E"/>
    <w:rsid w:val="006D78AE"/>
    <w:rsid w:val="006F0CC5"/>
    <w:rsid w:val="006F2172"/>
    <w:rsid w:val="00700DF9"/>
    <w:rsid w:val="0072718A"/>
    <w:rsid w:val="00737419"/>
    <w:rsid w:val="0075246E"/>
    <w:rsid w:val="00752BEB"/>
    <w:rsid w:val="007A4C4E"/>
    <w:rsid w:val="007C66FF"/>
    <w:rsid w:val="007D1879"/>
    <w:rsid w:val="007E04BB"/>
    <w:rsid w:val="007F65B2"/>
    <w:rsid w:val="0081287D"/>
    <w:rsid w:val="00817113"/>
    <w:rsid w:val="008254A1"/>
    <w:rsid w:val="008314CB"/>
    <w:rsid w:val="0084759C"/>
    <w:rsid w:val="0085310E"/>
    <w:rsid w:val="0085417D"/>
    <w:rsid w:val="00861F34"/>
    <w:rsid w:val="008B2919"/>
    <w:rsid w:val="008D5EA7"/>
    <w:rsid w:val="008E2B33"/>
    <w:rsid w:val="008F6E0A"/>
    <w:rsid w:val="008F7545"/>
    <w:rsid w:val="00901E4A"/>
    <w:rsid w:val="0090247A"/>
    <w:rsid w:val="00916D3E"/>
    <w:rsid w:val="00936F65"/>
    <w:rsid w:val="009406BF"/>
    <w:rsid w:val="00994C46"/>
    <w:rsid w:val="009A35BD"/>
    <w:rsid w:val="009A7085"/>
    <w:rsid w:val="009A7B3E"/>
    <w:rsid w:val="009D5E9C"/>
    <w:rsid w:val="009E2045"/>
    <w:rsid w:val="009E67E1"/>
    <w:rsid w:val="009F214A"/>
    <w:rsid w:val="00A10AB4"/>
    <w:rsid w:val="00A13BB9"/>
    <w:rsid w:val="00A14F14"/>
    <w:rsid w:val="00A27D29"/>
    <w:rsid w:val="00A32345"/>
    <w:rsid w:val="00A350B3"/>
    <w:rsid w:val="00A40DAC"/>
    <w:rsid w:val="00A423BA"/>
    <w:rsid w:val="00A47B7D"/>
    <w:rsid w:val="00A81597"/>
    <w:rsid w:val="00A96493"/>
    <w:rsid w:val="00AA0731"/>
    <w:rsid w:val="00AA092F"/>
    <w:rsid w:val="00AC4502"/>
    <w:rsid w:val="00AC57F4"/>
    <w:rsid w:val="00AC64B2"/>
    <w:rsid w:val="00AD0690"/>
    <w:rsid w:val="00AD4AC6"/>
    <w:rsid w:val="00AE23DA"/>
    <w:rsid w:val="00B2062E"/>
    <w:rsid w:val="00B25542"/>
    <w:rsid w:val="00B27639"/>
    <w:rsid w:val="00B30F23"/>
    <w:rsid w:val="00B536D9"/>
    <w:rsid w:val="00B57BAD"/>
    <w:rsid w:val="00B64C22"/>
    <w:rsid w:val="00B7344E"/>
    <w:rsid w:val="00B820C4"/>
    <w:rsid w:val="00BB60C1"/>
    <w:rsid w:val="00BC04FF"/>
    <w:rsid w:val="00BC453C"/>
    <w:rsid w:val="00BD023B"/>
    <w:rsid w:val="00BD2CEC"/>
    <w:rsid w:val="00C01F03"/>
    <w:rsid w:val="00C31010"/>
    <w:rsid w:val="00C3241F"/>
    <w:rsid w:val="00C3333E"/>
    <w:rsid w:val="00C354E6"/>
    <w:rsid w:val="00C41FAC"/>
    <w:rsid w:val="00C44482"/>
    <w:rsid w:val="00C671A6"/>
    <w:rsid w:val="00C73CB7"/>
    <w:rsid w:val="00C800B5"/>
    <w:rsid w:val="00CA7539"/>
    <w:rsid w:val="00CB04F2"/>
    <w:rsid w:val="00CB76CA"/>
    <w:rsid w:val="00CD25D7"/>
    <w:rsid w:val="00CD53D1"/>
    <w:rsid w:val="00CF2730"/>
    <w:rsid w:val="00D05EC3"/>
    <w:rsid w:val="00D15A11"/>
    <w:rsid w:val="00D45F71"/>
    <w:rsid w:val="00D55F54"/>
    <w:rsid w:val="00D60BF3"/>
    <w:rsid w:val="00D66951"/>
    <w:rsid w:val="00D7777A"/>
    <w:rsid w:val="00D86323"/>
    <w:rsid w:val="00D93A10"/>
    <w:rsid w:val="00DA2EF0"/>
    <w:rsid w:val="00DA30C0"/>
    <w:rsid w:val="00DB42D7"/>
    <w:rsid w:val="00DB7744"/>
    <w:rsid w:val="00DE08C7"/>
    <w:rsid w:val="00E00986"/>
    <w:rsid w:val="00E04F69"/>
    <w:rsid w:val="00E148F0"/>
    <w:rsid w:val="00E327A9"/>
    <w:rsid w:val="00E32A4D"/>
    <w:rsid w:val="00E46B47"/>
    <w:rsid w:val="00E50B12"/>
    <w:rsid w:val="00E67B42"/>
    <w:rsid w:val="00E76CF9"/>
    <w:rsid w:val="00ED01D9"/>
    <w:rsid w:val="00ED0CB9"/>
    <w:rsid w:val="00EE4C44"/>
    <w:rsid w:val="00EF73B6"/>
    <w:rsid w:val="00F0200C"/>
    <w:rsid w:val="00F061C6"/>
    <w:rsid w:val="00F163DA"/>
    <w:rsid w:val="00F35FB2"/>
    <w:rsid w:val="00F36E59"/>
    <w:rsid w:val="00F51BE6"/>
    <w:rsid w:val="00F53CAE"/>
    <w:rsid w:val="00F57381"/>
    <w:rsid w:val="00F71E50"/>
    <w:rsid w:val="00F74C84"/>
    <w:rsid w:val="00F94D07"/>
    <w:rsid w:val="00FA44CE"/>
    <w:rsid w:val="00FD3DED"/>
    <w:rsid w:val="00FD5BDD"/>
    <w:rsid w:val="00FE3BF0"/>
    <w:rsid w:val="00FF4F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9C"/>
    <w:rPr>
      <w:rFonts w:ascii="Segoe UI Light" w:eastAsiaTheme="minorHAnsi" w:hAnsi="Segoe UI Light"/>
      <w:noProof/>
      <w:lang w:val="en-GB"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37419"/>
    <w:rPr>
      <w:color w:val="0000FF" w:themeColor="hyperlink"/>
      <w:u w:val="single"/>
    </w:rPr>
  </w:style>
  <w:style w:type="paragraph" w:styleId="Bibliographie">
    <w:name w:val="Bibliography"/>
    <w:basedOn w:val="Normal"/>
    <w:next w:val="Normal"/>
    <w:uiPriority w:val="37"/>
    <w:semiHidden/>
    <w:unhideWhenUsed/>
    <w:rsid w:val="000E7FDE"/>
    <w:pPr>
      <w:spacing w:after="0" w:line="240" w:lineRule="auto"/>
    </w:pPr>
    <w:rPr>
      <w:rFonts w:ascii="Calibri" w:hAnsi="Calibri" w:cs="Times New Roman"/>
      <w:noProof w:val="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9C"/>
    <w:rPr>
      <w:rFonts w:ascii="Segoe UI Light" w:eastAsiaTheme="minorHAnsi" w:hAnsi="Segoe UI Light"/>
      <w:noProof/>
      <w:lang w:val="en-GB"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37419"/>
    <w:rPr>
      <w:color w:val="0000FF" w:themeColor="hyperlink"/>
      <w:u w:val="single"/>
    </w:rPr>
  </w:style>
  <w:style w:type="paragraph" w:styleId="Bibliographie">
    <w:name w:val="Bibliography"/>
    <w:basedOn w:val="Normal"/>
    <w:next w:val="Normal"/>
    <w:uiPriority w:val="37"/>
    <w:semiHidden/>
    <w:unhideWhenUsed/>
    <w:rsid w:val="000E7FDE"/>
    <w:pPr>
      <w:spacing w:after="0" w:line="240" w:lineRule="auto"/>
    </w:pPr>
    <w:rPr>
      <w:rFonts w:ascii="Calibri" w:hAnsi="Calibri" w:cs="Times New Roman"/>
      <w:noProof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66577">
      <w:bodyDiv w:val="1"/>
      <w:marLeft w:val="0"/>
      <w:marRight w:val="0"/>
      <w:marTop w:val="0"/>
      <w:marBottom w:val="0"/>
      <w:divBdr>
        <w:top w:val="none" w:sz="0" w:space="0" w:color="auto"/>
        <w:left w:val="none" w:sz="0" w:space="0" w:color="auto"/>
        <w:bottom w:val="none" w:sz="0" w:space="0" w:color="auto"/>
        <w:right w:val="none" w:sz="0" w:space="0" w:color="auto"/>
      </w:divBdr>
    </w:div>
    <w:div w:id="793330077">
      <w:bodyDiv w:val="1"/>
      <w:marLeft w:val="0"/>
      <w:marRight w:val="0"/>
      <w:marTop w:val="0"/>
      <w:marBottom w:val="0"/>
      <w:divBdr>
        <w:top w:val="none" w:sz="0" w:space="0" w:color="auto"/>
        <w:left w:val="none" w:sz="0" w:space="0" w:color="auto"/>
        <w:bottom w:val="none" w:sz="0" w:space="0" w:color="auto"/>
        <w:right w:val="none" w:sz="0" w:space="0" w:color="auto"/>
      </w:divBdr>
    </w:div>
    <w:div w:id="17247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sysflex.com" TargetMode="External"/><Relationship Id="rId3" Type="http://schemas.openxmlformats.org/officeDocument/2006/relationships/settings" Target="settings.xml"/><Relationship Id="rId7" Type="http://schemas.openxmlformats.org/officeDocument/2006/relationships/hyperlink" Target="http://www.elivten-project.e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ylvain.noureau@akka.eu" TargetMode="External"/><Relationship Id="rId11" Type="http://schemas.openxmlformats.org/officeDocument/2006/relationships/theme" Target="theme/theme1.xml"/><Relationship Id="rId5" Type="http://schemas.openxmlformats.org/officeDocument/2006/relationships/hyperlink" Target="mailto:benoit.baurens@akka.e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arus-secure.e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977</Words>
  <Characters>5375</Characters>
  <Application>Microsoft Office Word</Application>
  <DocSecurity>0</DocSecurity>
  <Lines>44</Lines>
  <Paragraphs>12</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Arrue</dc:creator>
  <cp:lastModifiedBy>BAURENS Benoit</cp:lastModifiedBy>
  <cp:revision>14</cp:revision>
  <dcterms:created xsi:type="dcterms:W3CDTF">2018-10-02T10:45:00Z</dcterms:created>
  <dcterms:modified xsi:type="dcterms:W3CDTF">2018-10-03T06:48:00Z</dcterms:modified>
</cp:coreProperties>
</file>