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Navegação, layout e integração das páginas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Atualização de links, provider global e imports de composição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layout.tsx; Header.tsx; components/pages/*; componentes de navegação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todos os caminhos usados pela interface passam a direcionar para </w:t>
      </w:r>
      <w:r>
        <w:rPr>
          <w:rFonts w:ascii="Consolas" w:hAnsi="Consolas" w:eastAsia="Consolas"/>
          <w:color w:val="1F4D78"/>
          <w:sz w:val="18"/>
          <w:shd w:fill="F2F4F7"/>
        </w:rPr>
        <w:t>/rastreamento</w:t>
      </w:r>
      <w:r>
        <w:rPr>
          <w:rFonts w:ascii="Calibri" w:hAnsi="Calibri" w:eastAsia="Calibri"/>
          <w:color w:val="0B2545"/>
          <w:sz w:val="20"/>
        </w:rPr>
        <w:t>, preservando clique e teclado.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Mudanças de destino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900"/>
        <w:gridCol w:w="3230"/>
        <w:gridCol w:w="323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Origem</w:t>
            </w:r>
          </w:p>
        </w:tc>
        <w:tc>
          <w:tcPr>
            <w:tcW w:type="dxa" w:w="32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Antes</w:t>
            </w:r>
          </w:p>
        </w:tc>
        <w:tc>
          <w:tcPr>
            <w:tcW w:type="dxa" w:w="32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Formulário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/tracking?cpf=...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/rastreamento/{cpf}</w:t>
            </w:r>
          </w:p>
        </w:tc>
      </w:tr>
      <w:tr>
        <w:trPr>
          <w:cantSplit/>
        </w:trPr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Card mobile</w:t>
            </w:r>
          </w:p>
        </w:tc>
        <w:tc>
          <w:tcPr>
            <w:tcW w:type="dxa" w:w="3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/tracking/{id}</w:t>
            </w:r>
          </w:p>
        </w:tc>
        <w:tc>
          <w:tcPr>
            <w:tcW w:type="dxa" w:w="3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/rastreamento/detalhes/{id}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Linha desktop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/tracking/{id}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/rastreamento/detalhes/{id}</w:t>
            </w:r>
          </w:p>
        </w:tc>
      </w:tr>
      <w:tr>
        <w:trPr>
          <w:cantSplit/>
        </w:trPr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Voltar do detalhe</w:t>
            </w:r>
          </w:p>
        </w:tc>
        <w:tc>
          <w:tcPr>
            <w:tcW w:type="dxa" w:w="3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/tracking?cpf=...</w:t>
            </w:r>
          </w:p>
        </w:tc>
        <w:tc>
          <w:tcPr>
            <w:tcW w:type="dxa" w:w="3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/rastreamento/{cpf}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Integração do provider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0"/>
          <w:shd w:fill="F2F4F7"/>
        </w:rPr>
        <w:t>RootLayout</w:t>
      </w:r>
      <w:r>
        <w:rPr>
          <w:rFonts w:ascii="Calibri" w:hAnsi="Calibri" w:eastAsia="Calibri"/>
          <w:color w:val="1F2933"/>
          <w:sz w:val="22"/>
        </w:rPr>
        <w:t xml:space="preserve"> importa </w:t>
      </w:r>
      <w:r>
        <w:rPr>
          <w:rFonts w:ascii="Consolas" w:hAnsi="Consolas" w:eastAsia="Consolas"/>
          <w:color w:val="1F4D78"/>
          <w:sz w:val="20"/>
          <w:shd w:fill="F2F4F7"/>
        </w:rPr>
        <w:t>TrackingProvider</w:t>
      </w:r>
      <w:r>
        <w:rPr>
          <w:rFonts w:ascii="Calibri" w:hAnsi="Calibri" w:eastAsia="Calibri"/>
          <w:color w:val="1F2933"/>
          <w:sz w:val="22"/>
        </w:rPr>
        <w:t xml:space="preserve"> do novo módulo.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O provider continua envolvendo Header, conteúdo e Footer.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Home, Tracking e TrackingDetail atualizam apenas a origem dos imports.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Header</w:t>
      </w:r>
    </w:p>
    <w:p>
      <w:r>
        <w:rPr>
          <w:rFonts w:ascii="Calibri" w:hAnsi="Calibri" w:eastAsia="Calibri"/>
          <w:color w:val="1F2933"/>
          <w:sz w:val="22"/>
        </w:rPr>
        <w:t xml:space="preserve">A saudação passa a funcionar em </w:t>
      </w:r>
      <w:r>
        <w:rPr>
          <w:rFonts w:ascii="Consolas" w:hAnsi="Consolas" w:eastAsia="Consolas"/>
          <w:color w:val="1F4D78"/>
          <w:sz w:val="20"/>
          <w:shd w:fill="F2F4F7"/>
        </w:rPr>
        <w:t>/rastreamento</w:t>
      </w:r>
      <w:r>
        <w:rPr>
          <w:rFonts w:ascii="Calibri" w:hAnsi="Calibri" w:eastAsia="Calibri"/>
          <w:color w:val="1F2933"/>
          <w:sz w:val="22"/>
        </w:rPr>
        <w:t xml:space="preserve"> e </w:t>
      </w:r>
      <w:r>
        <w:rPr>
          <w:rFonts w:ascii="Consolas" w:hAnsi="Consolas" w:eastAsia="Consolas"/>
          <w:color w:val="1F4D78"/>
          <w:sz w:val="20"/>
          <w:shd w:fill="F2F4F7"/>
        </w:rPr>
        <w:t>/rastreamento/*</w:t>
      </w:r>
      <w:r>
        <w:rPr>
          <w:rFonts w:ascii="Calibri" w:hAnsi="Calibri" w:eastAsia="Calibri"/>
          <w:color w:val="1F2933"/>
          <w:sz w:val="22"/>
        </w:rPr>
        <w:t xml:space="preserve">. As condições antigas de </w:t>
      </w:r>
      <w:r>
        <w:rPr>
          <w:rFonts w:ascii="Consolas" w:hAnsi="Consolas" w:eastAsia="Consolas"/>
          <w:color w:val="1F4D78"/>
          <w:sz w:val="20"/>
          <w:shd w:fill="F2F4F7"/>
        </w:rPr>
        <w:t>/tracking</w:t>
      </w:r>
      <w:r>
        <w:rPr>
          <w:rFonts w:ascii="Calibri" w:hAnsi="Calibri" w:eastAsia="Calibri"/>
          <w:color w:val="1F2933"/>
          <w:sz w:val="22"/>
        </w:rPr>
        <w:t xml:space="preserve"> permanecem, embora as páginas tenham sido removidas.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Acessibilidade preservada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A linha desktop continua navegável por </w:t>
      </w:r>
      <w:r>
        <w:rPr>
          <w:rFonts w:ascii="Consolas" w:hAnsi="Consolas" w:eastAsia="Consolas"/>
          <w:color w:val="1F4D78"/>
          <w:sz w:val="20"/>
          <w:shd w:fill="F2F4F7"/>
        </w:rPr>
        <w:t>Enter</w:t>
      </w:r>
      <w:r>
        <w:rPr>
          <w:rFonts w:ascii="Calibri" w:hAnsi="Calibri" w:eastAsia="Calibri"/>
          <w:color w:val="1F2933"/>
          <w:sz w:val="22"/>
        </w:rPr>
        <w:t xml:space="preserve"> e espaço.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O card permanece um </w:t>
      </w:r>
      <w:r>
        <w:rPr>
          <w:rFonts w:ascii="Consolas" w:hAnsi="Consolas" w:eastAsia="Consolas"/>
          <w:color w:val="1F4D78"/>
          <w:sz w:val="20"/>
          <w:shd w:fill="F2F4F7"/>
        </w:rPr>
        <w:t>Link</w:t>
      </w:r>
      <w:r>
        <w:rPr>
          <w:rFonts w:ascii="Calibri" w:hAnsi="Calibri" w:eastAsia="Calibri"/>
          <w:color w:val="1F2933"/>
          <w:sz w:val="22"/>
        </w:rPr>
        <w:t xml:space="preserve"> real.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Loading states acompanham a nova árvore do App Router.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O link de retorno usa o CPF persistido no provider.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Limitação de navegação direta</w:t>
      </w:r>
    </w:p>
    <w:p>
      <w:r>
        <w:rPr>
          <w:rFonts w:ascii="Calibri" w:hAnsi="Calibri" w:eastAsia="Calibri"/>
          <w:color w:val="1F2933"/>
          <w:sz w:val="22"/>
        </w:rPr>
        <w:t xml:space="preserve">A URL da listagem contém o CPF, mas não torna a tela autossuficiente. </w:t>
      </w:r>
      <w:r>
        <w:rPr>
          <w:rFonts w:ascii="Consolas" w:hAnsi="Consolas" w:eastAsia="Consolas"/>
          <w:color w:val="1F4D78"/>
          <w:sz w:val="20"/>
          <w:shd w:fill="F2F4F7"/>
        </w:rPr>
        <w:t>TrackingListView</w:t>
      </w:r>
      <w:r>
        <w:rPr>
          <w:rFonts w:ascii="Calibri" w:hAnsi="Calibri" w:eastAsia="Calibri"/>
          <w:color w:val="1F2933"/>
          <w:sz w:val="22"/>
        </w:rPr>
        <w:t xml:space="preserve"> exige que os pacotes já estejam no provider. O detalhe também precisa do CPF em sessão para chamar a API.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Navegação, layout e integração das páginas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