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 w:eastAsia="Calibri"/>
          <w:b/>
          <w:color w:val="2E74B5"/>
          <w:sz w:val="18"/>
        </w:rPr>
        <w:t>DOCUMENTAÇÃO TÉCNICA · ALTERAÇÃO DOCUMENTADA</w:t>
      </w:r>
    </w:p>
    <w:p>
      <w:pPr>
        <w:spacing w:after="140"/>
      </w:pPr>
      <w:r>
        <w:rPr>
          <w:rFonts w:ascii="Calibri" w:hAnsi="Calibri" w:eastAsia="Calibri"/>
          <w:b/>
          <w:color w:val="0B2545"/>
          <w:sz w:val="50"/>
        </w:rPr>
        <w:t>Riscos, privacidade e compatibilidade</w:t>
      </w:r>
    </w:p>
    <w:p>
      <w:pPr>
        <w:spacing w:after="300"/>
      </w:pPr>
      <w:r>
        <w:rPr>
          <w:rFonts w:ascii="Calibri" w:hAnsi="Calibri" w:eastAsia="Calibri"/>
          <w:color w:val="1F4D78"/>
          <w:sz w:val="26"/>
        </w:rPr>
        <w:t>Pontos que precisam de decisão antes de consolidar a alteração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Comparação: </w:t>
      </w:r>
      <w:r>
        <w:rPr>
          <w:rFonts w:ascii="Calibri" w:hAnsi="Calibri" w:eastAsia="Calibri"/>
          <w:color w:val="5B6573"/>
          <w:sz w:val="19"/>
        </w:rPr>
        <w:t>commit f7d49ae (HEAD) x working tree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Branch: </w:t>
      </w:r>
      <w:r>
        <w:rPr>
          <w:rFonts w:ascii="Calibri" w:hAnsi="Calibri" w:eastAsia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Data: </w:t>
      </w:r>
      <w:r>
        <w:rPr>
          <w:rFonts w:ascii="Calibri" w:hAnsi="Calibri" w:eastAsia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Arquivos principais: </w:t>
      </w:r>
      <w:r>
        <w:rPr>
          <w:rFonts w:ascii="Calibri" w:hAnsi="Calibri" w:eastAsia="Calibri"/>
          <w:color w:val="5B6573"/>
          <w:sz w:val="19"/>
        </w:rPr>
        <w:t>rotas, caches, gateway, provider e documentação</w:t>
      </w:r>
    </w:p>
    <w:p/>
    <w:p>
      <w:pPr>
        <w:spacing w:before="80" w:after="200" w:line="276" w:lineRule="auto"/>
        <w:shd w:fill="F4F6F9"/>
        <w:pBdr>
          <w:left w:val="single" w:sz="18" w:space="8" w:color="2E74B5"/>
        </w:pBdr>
        <w:ind w:left="180" w:right="140"/>
      </w:pPr>
      <w:r>
        <w:rPr>
          <w:rFonts w:ascii="Calibri" w:hAnsi="Calibri" w:eastAsia="Calibri"/>
          <w:b/>
          <w:color w:val="0B2545"/>
          <w:sz w:val="20"/>
        </w:rPr>
        <w:t>Prioridade:</w:t>
      </w:r>
      <w:r>
        <w:rPr>
          <w:rFonts w:ascii="Calibri" w:hAnsi="Calibri" w:eastAsia="Calibri"/>
          <w:color w:val="0B2545"/>
          <w:sz w:val="20"/>
        </w:rPr>
        <w:t xml:space="preserve"> preservar URLs antigas, limitar os caches e revisar onde CPF e eventos ficam armazenados.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Matriz de riscos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1500"/>
        <w:gridCol w:w="3300"/>
        <w:gridCol w:w="45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Prioridade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Risco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Consequência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Alta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URLs antigas sem redirect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links e favoritos podem quebrar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Alta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CPF no path e na API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exposição em logs e histórico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Alta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detalhes no sessionStorage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mais dados pessoais no navegador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Média/alta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timeout encerra antes do body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download pode exceder o limite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Média/alta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dependência circular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fronteiras arquiteturais frágeis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Média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caches sem limite global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crescimento de memória/storage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Média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cache por instância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comportamento diferente em serverless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Média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página depende da sessão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URL compartilhada não refaz a busca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Média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README desatualizado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orientação técnica incorreta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Dados pessoais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CPF aparece na rota pública e na query da API.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A chave do cache de lista do core é o CPF normalizado.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A chave do detalhe combina CPF e trackingId.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O navegador passa a persistir eventos completos do pacote.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Não há expiração explícita do cache no cliente.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Compatibilidade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 xml:space="preserve">Adicionar redirects de </w:t>
      </w:r>
      <w:r>
        <w:rPr>
          <w:rFonts w:ascii="Consolas" w:hAnsi="Consolas" w:eastAsia="Consolas"/>
          <w:color w:val="1F4D78"/>
          <w:sz w:val="20"/>
          <w:shd w:fill="F2F4F7"/>
        </w:rPr>
        <w:t>/tracking</w:t>
      </w:r>
      <w:r>
        <w:rPr>
          <w:rFonts w:ascii="Calibri" w:hAnsi="Calibri" w:eastAsia="Calibri"/>
          <w:color w:val="1F2933"/>
          <w:sz w:val="22"/>
        </w:rPr>
        <w:t xml:space="preserve"> para </w:t>
      </w:r>
      <w:r>
        <w:rPr>
          <w:rFonts w:ascii="Consolas" w:hAnsi="Consolas" w:eastAsia="Consolas"/>
          <w:color w:val="1F4D78"/>
          <w:sz w:val="20"/>
          <w:shd w:fill="F2F4F7"/>
        </w:rPr>
        <w:t>/rastreamento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 xml:space="preserve">Manter leitura de caches antigos sem </w:t>
      </w:r>
      <w:r>
        <w:rPr>
          <w:rFonts w:ascii="Consolas" w:hAnsi="Consolas" w:eastAsia="Consolas"/>
          <w:color w:val="1F4D78"/>
          <w:sz w:val="20"/>
          <w:shd w:fill="F2F4F7"/>
        </w:rPr>
        <w:t>details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Documentar que caches do core são locais à instância.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 xml:space="preserve">Atualizar o README, que ainda descreve </w:t>
      </w:r>
      <w:r>
        <w:rPr>
          <w:rFonts w:ascii="Consolas" w:hAnsi="Consolas" w:eastAsia="Consolas"/>
          <w:color w:val="1F4D78"/>
          <w:sz w:val="20"/>
          <w:shd w:fill="F2F4F7"/>
        </w:rPr>
        <w:t>features/tracking</w:t>
      </w:r>
      <w:r>
        <w:rPr>
          <w:rFonts w:ascii="Calibri" w:hAnsi="Calibri" w:eastAsia="Calibri"/>
          <w:color w:val="1F2933"/>
          <w:sz w:val="22"/>
        </w:rPr>
        <w:t xml:space="preserve"> e rotas antigas.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Controles recomendados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F2933"/>
          <w:sz w:val="22"/>
        </w:rPr>
        <w:t>Definir TTL e limite de itens também no cliente.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F2933"/>
          <w:sz w:val="22"/>
        </w:rPr>
        <w:t>Remover detalhes antigos ao mudar de CPF.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F2933"/>
          <w:sz w:val="22"/>
        </w:rPr>
        <w:t>Manter o AbortController ativo até terminar o body.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F2933"/>
          <w:sz w:val="22"/>
        </w:rPr>
        <w:t xml:space="preserve">Definir </w:t>
      </w:r>
      <w:r>
        <w:rPr>
          <w:rFonts w:ascii="Consolas" w:hAnsi="Consolas" w:eastAsia="Consolas"/>
          <w:color w:val="1F4D78"/>
          <w:sz w:val="20"/>
          <w:shd w:fill="F2F4F7"/>
        </w:rPr>
        <w:t>cache: 'no-store'</w:t>
      </w:r>
      <w:r>
        <w:rPr>
          <w:rFonts w:ascii="Calibri" w:hAnsi="Calibri" w:eastAsia="Calibri"/>
          <w:color w:val="1F2933"/>
          <w:sz w:val="22"/>
        </w:rPr>
        <w:t xml:space="preserve"> para o SSW.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F2933"/>
          <w:sz w:val="22"/>
        </w:rPr>
        <w:t>Separar handlers HTTP e gateway para romper o ciclo.</w:t>
      </w:r>
    </w:p>
    <w:p>
      <w:pPr>
        <w:pStyle w:val="Heading1"/>
      </w:pPr>
      <w:r>
        <w:t>Riscos herdados da refatoração anterior</w:t>
      </w:r>
    </w:p>
    <w:p>
      <w:pPr>
        <w:pStyle w:val="ListBullet"/>
      </w:pPr>
      <w:r>
        <w:t>A migração para GET colocou o CPF na query string da API, ampliando a presença do dado em URLs e logs.</w:t>
      </w:r>
    </w:p>
    <w:p>
      <w:pPr>
        <w:pStyle w:val="ListBullet"/>
      </w:pPr>
      <w:r>
        <w:t>A interface trocou o CPF parcialmente oculto pelo valor completo formatado.</w:t>
      </w:r>
    </w:p>
    <w:p>
      <w:pPr>
        <w:pStyle w:val="ListBullet"/>
      </w:pPr>
      <w:r>
        <w:t>Falhas SSW antes mapeadas para HTTP 502 passaram a cair no tratamento genérico HTTP 500.</w:t>
      </w:r>
    </w:p>
    <w:p>
      <w:pPr>
        <w:pStyle w:val="ListBullet"/>
      </w:pPr>
      <w:r>
        <w:t>O corpo de erro perdeu os campos success e code, reduzindo a estabilidade para consumidores.</w:t>
      </w:r>
    </w:p>
    <w:p>
      <w:pPr>
        <w:pStyle w:val="ListBullet"/>
      </w:pPr>
      <w:r>
        <w:t>scrapedAt da listagem passou a refletir o relógio do navegador, não exatamente o instante da coleta.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Riscos, privacidade e compatibilidade</dc:title>
  <dc:subject>Documentação modular da segunda alteração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