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00"/>
      </w:pPr>
      <w:r>
        <w:rPr>
          <w:rFonts w:ascii="Calibri" w:hAnsi="Calibri" w:eastAsia="Calibri"/>
          <w:b/>
          <w:color w:val="2E74B5"/>
          <w:sz w:val="18"/>
        </w:rPr>
        <w:t>DOCUMENTAÇÃO TÉCNICA · ALTERAÇÃO DOCUMENTADA</w:t>
      </w:r>
    </w:p>
    <w:p>
      <w:pPr>
        <w:spacing w:after="140"/>
      </w:pPr>
      <w:r>
        <w:rPr>
          <w:rFonts w:ascii="Calibri" w:hAnsi="Calibri" w:eastAsia="Calibri"/>
          <w:b/>
          <w:color w:val="0B2545"/>
          <w:sz w:val="50"/>
        </w:rPr>
        <w:t>Arquitetura do core e integração SSW</w:t>
      </w:r>
    </w:p>
    <w:p>
      <w:pPr>
        <w:spacing w:after="300"/>
      </w:pPr>
      <w:r>
        <w:rPr>
          <w:rFonts w:ascii="Calibri" w:hAnsi="Calibri" w:eastAsia="Calibri"/>
          <w:color w:val="1F4D78"/>
          <w:sz w:val="26"/>
        </w:rPr>
        <w:t>Do service centralizado em src para casos de uso e integração específica do fornecedor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Fonte: </w:t>
      </w:r>
      <w:r>
        <w:rPr>
          <w:rFonts w:ascii="Calibri" w:hAnsi="Calibri" w:eastAsia="Calibri"/>
          <w:color w:val="5B6573"/>
          <w:sz w:val="19"/>
        </w:rPr>
        <w:t>RELATORIO_REFATORACAO_TRACKING.md; comparação histórica registrada: commit 1d66a82 x working tree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Branch: </w:t>
      </w:r>
      <w:r>
        <w:rPr>
          <w:rFonts w:ascii="Calibri" w:hAnsi="Calibri" w:eastAsia="Calibri"/>
          <w:color w:val="5B6573"/>
          <w:sz w:val="19"/>
        </w:rPr>
        <w:t>v2-rastreamento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Data da revisão: </w:t>
      </w:r>
      <w:r>
        <w:rPr>
          <w:rFonts w:ascii="Calibri" w:hAnsi="Calibri" w:eastAsia="Calibri"/>
          <w:color w:val="5B6573"/>
          <w:sz w:val="19"/>
        </w:rPr>
        <w:t>29 de julho de 2026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Arquivos principais: </w:t>
      </w:r>
      <w:r>
        <w:rPr>
          <w:rFonts w:ascii="Calibri" w:hAnsi="Calibri" w:eastAsia="Calibri"/>
          <w:color w:val="5B6573"/>
          <w:sz w:val="19"/>
        </w:rPr>
        <w:t>src/services/tracking.service.ts; core/domain/*; src/services/ssw/tracking/*; rotas de API</w:t>
      </w:r>
    </w:p>
    <w:p>
      <w:r>
        <w:rPr>
          <w:b/>
          <w:color w:val="0B2545"/>
        </w:rPr>
        <w:t xml:space="preserve">Resultado: </w:t>
      </w:r>
      <w:r>
        <w:t>a orquestração foi dividida entre casos de uso de listagem e detalhe, enquanto scraper e parser foram aproximados da integração SSW.</w:t>
      </w:r>
    </w:p>
    <w:p>
      <w:pPr>
        <w:pStyle w:val="Heading1"/>
      </w:pPr>
      <w:r>
        <w:t>Como era antes</w:t>
      </w:r>
    </w:p>
    <w:p>
      <w:r>
        <w:t>O pipeline ficava quase inteiro sob src. As rotas POST liam JSON, traduziam erros e chamavam src/services/tracking.service.ts. Esse service validava o CPF, executava scraping, acionava o parser e montava os envelopes de resposta da listagem e do detalhe.</w:t>
      </w:r>
    </w:p>
    <w:p>
      <w:pPr>
        <w:pStyle w:val="NoSpacing"/>
        <w:shd w:fill="F2F4F7"/>
      </w:pPr>
      <w:r>
        <w:rPr>
          <w:rFonts w:ascii="Consolas" w:hAnsi="Consolas"/>
          <w:sz w:val="22"/>
        </w:rPr>
        <w:t>Interface -&gt; POST /api/tracking -&gt; route.ts -&gt; tracking.service.ts</w:t>
        <w:br/>
        <w:t xml:space="preserve">          -&gt; validator -&gt; scraper SSW -&gt; parser -&gt; TrackingResponse</w:t>
      </w:r>
    </w:p>
    <w:p>
      <w:pPr>
        <w:pStyle w:val="Heading1"/>
      </w:pPr>
      <w:r>
        <w:t>Como passou a funcionar</w:t>
      </w:r>
    </w:p>
    <w:p>
      <w:r>
        <w:t>A refatoração criou casos de uso em core/domain/tracking e moveu utilitários comuns para core/domain/common. Parser e scraping passaram para src/services/ssw/tracking, deixando explícita a dependência do HTML e do formulário do fornecedor.</w:t>
      </w:r>
    </w:p>
    <w:p>
      <w:pPr>
        <w:pStyle w:val="NoSpacing"/>
        <w:shd w:fill="F2F4F7"/>
      </w:pPr>
      <w:r>
        <w:rPr>
          <w:rFonts w:ascii="Consolas" w:hAnsi="Consolas"/>
          <w:sz w:val="22"/>
        </w:rPr>
        <w:t>route/controller -&gt; gateway HTTP -&gt; core/domain/tracking</w:t>
        <w:br/>
        <w:t xml:space="preserve">                               -&gt; integração SSW -&gt; parser HTML</w:t>
      </w:r>
    </w:p>
    <w:p>
      <w:r>
        <w:br w:type="page"/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2600"/>
        <w:gridCol w:w="3000"/>
        <w:gridCol w:w="3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Responsabilidade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Antes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Após a refatoração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Listagem e detalhe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tracking.service.ts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tracking.ts e tracking-detail.ts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Validação e formatação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src/utils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core/domain/common/utils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Scraping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src/utils/scrapers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src/services/ssw/tracking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Parsing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src/utils/parsers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src/services/ssw/tracking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Entrada HTTP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route.ts com lógica local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reexport de handlers GET</w:t>
            </w:r>
          </w:p>
        </w:tc>
      </w:tr>
    </w:tbl>
    <w:p/>
    <w:p>
      <w:pPr>
        <w:pStyle w:val="Heading1"/>
      </w:pPr>
      <w:r>
        <w:t>Ganhos arquiteturais</w:t>
      </w:r>
    </w:p>
    <w:p>
      <w:pPr>
        <w:pStyle w:val="ListBullet"/>
      </w:pPr>
      <w:r>
        <w:t>Listagem e detalhe passam a ter casos de uso independentes.</w:t>
      </w:r>
    </w:p>
    <w:p>
      <w:pPr>
        <w:pStyle w:val="ListBullet"/>
      </w:pPr>
      <w:r>
        <w:t>Parser e scraping ficam próximos do contexto externo que determina seu formato.</w:t>
      </w:r>
    </w:p>
    <w:p>
      <w:pPr>
        <w:pStyle w:val="ListBullet"/>
      </w:pPr>
      <w:r>
        <w:t>O alias @core torna a nova fronteira visível nos imports.</w:t>
      </w:r>
    </w:p>
    <w:p>
      <w:pPr>
        <w:pStyle w:val="ListBullet"/>
      </w:pPr>
      <w:r>
        <w:t>O helper de erro centraliza registro e lançamento de erros codificados.</w:t>
      </w:r>
    </w:p>
    <w:p>
      <w:pPr>
        <w:pStyle w:val="Heading1"/>
      </w:pPr>
      <w:r>
        <w:t>Limites e dívida técnica</w:t>
      </w:r>
    </w:p>
    <w:p>
      <w:pPr>
        <w:pStyle w:val="ListBullet"/>
      </w:pPr>
      <w:r>
        <w:t>O gateway importa o core, enquanto o core importa funções do gateway, formando um ciclo.</w:t>
      </w:r>
    </w:p>
    <w:p>
      <w:pPr>
        <w:pStyle w:val="ListBullet"/>
      </w:pPr>
      <w:r>
        <w:t>O mesmo gateway acumula scraping, handlers HTTP e tradução de erros.</w:t>
      </w:r>
    </w:p>
    <w:p>
      <w:pPr>
        <w:pStyle w:val="ListBullet"/>
      </w:pPr>
      <w:r>
        <w:t>Utilitários do core ainda dependem de tipos e constantes localizados em src.</w:t>
      </w:r>
    </w:p>
    <w:p>
      <w:pPr>
        <w:pStyle w:val="ListBullet"/>
      </w:pPr>
      <w:r>
        <w:t>A documentação arquitetural precisa acompanhar as movimentações posteriores dos componentes.</w:t>
      </w:r>
    </w:p>
    <w:p>
      <w:pPr>
        <w:shd w:fill="F4F6F9"/>
        <w:pBdr>
          <w:left w:val="single" w:sz="18" w:space="6" w:color="2E74B5"/>
        </w:pBdr>
      </w:pPr>
      <w:r>
        <w:rPr>
          <w:b/>
          <w:color w:val="0B2545"/>
        </w:rPr>
        <w:t xml:space="preserve">Leitura atual: </w:t>
      </w:r>
      <w:r>
        <w:t>as mudanças posteriores de rotas, componentes, cache e transporte fetch estão documentadas nos demais arquivos da pasta docs.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 w:eastAsia="Calibri"/>
        <w:b/>
        <w:color w:val="5B6573"/>
        <w:sz w:val="17"/>
      </w:rPr>
      <w:t>SSW TRACKER · DOCUMENTAÇÃO MODULAR</w:t>
      <w:tab/>
      <w:t>ALTERAÇÃO DOCUMENTADA</w:t>
    </w:r>
    <w:r>
      <w:rPr>
        <w:rFonts w:ascii="Calibri" w:hAnsi="Calibri" w:eastAsia="Calibri"/>
        <w:color w:val="5B6573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Rotas públicas e estrutura de URLs</dc:title>
  <dc:subject>Documentação modular da segunda alteração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