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 w:eastAsia="Calibri"/>
          <w:b/>
          <w:color w:val="2E74B5"/>
          <w:sz w:val="18"/>
        </w:rPr>
        <w:t>DOCUMENTAÇÃO TÉCNICA · ALTERAÇÃO DOCUMENTADA</w:t>
      </w:r>
    </w:p>
    <w:p>
      <w:pPr>
        <w:spacing w:after="140"/>
      </w:pPr>
      <w:r>
        <w:rPr>
          <w:rFonts w:ascii="Calibri" w:hAnsi="Calibri" w:eastAsia="Calibri"/>
          <w:b/>
          <w:color w:val="0B2545"/>
          <w:sz w:val="50"/>
        </w:rPr>
        <w:t>Otimização da listagem e detalhe sob demanda</w:t>
      </w:r>
    </w:p>
    <w:p>
      <w:pPr>
        <w:spacing w:after="300"/>
      </w:pPr>
      <w:r>
        <w:rPr>
          <w:rFonts w:ascii="Calibri" w:hAnsi="Calibri" w:eastAsia="Calibri"/>
          <w:color w:val="1F4D78"/>
          <w:sz w:val="26"/>
        </w:rPr>
        <w:t>Da consulta antecipada de todos os eventos para resumos rápidos e detalhe carregado ao selecionar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Fonte: </w:t>
      </w:r>
      <w:r>
        <w:rPr>
          <w:rFonts w:ascii="Calibri" w:hAnsi="Calibri" w:eastAsia="Calibri"/>
          <w:color w:val="5B6573"/>
          <w:sz w:val="19"/>
        </w:rPr>
        <w:t>RELATORIO_REFATORACAO_TRACKING.md; comparação histórica registrada: commit 1d66a82 x working tree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Branch: </w:t>
      </w:r>
      <w:r>
        <w:rPr>
          <w:rFonts w:ascii="Calibri" w:hAnsi="Calibri" w:eastAsia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Data da revisão: </w:t>
      </w:r>
      <w:r>
        <w:rPr>
          <w:rFonts w:ascii="Calibri" w:hAnsi="Calibri" w:eastAsia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Arquivos principais: </w:t>
      </w:r>
      <w:r>
        <w:rPr>
          <w:rFonts w:ascii="Calibri" w:hAnsi="Calibri" w:eastAsia="Calibri"/>
          <w:color w:val="5B6573"/>
          <w:sz w:val="19"/>
        </w:rPr>
        <w:t>tracking.service.ts; core/domain/tracking/tracking.ts; tracking-detail.ts; parser e frontend</w:t>
      </w:r>
    </w:p>
    <w:p>
      <w:r>
        <w:rPr>
          <w:b/>
          <w:color w:val="0B2545"/>
        </w:rPr>
        <w:t xml:space="preserve">Resultado: </w:t>
      </w:r>
      <w:r>
        <w:t>a busca inicial deixa de consultar o detalhe de cada encomenda, reduzindo o custo externo de N + 2 para duas chamadas.</w:t>
      </w:r>
    </w:p>
    <w:p>
      <w:pPr>
        <w:pStyle w:val="Heading1"/>
      </w:pPr>
      <w:r>
        <w:t>Fluxo anterior</w:t>
      </w:r>
    </w:p>
    <w:p>
      <w:r>
        <w:t>Depois de obter a lista, o service abria em paralelo o detalhe de todas as encomendas. O resumo era enriquecido com os eventos completos, destinatário, nota fiscal, pedido e status.</w:t>
      </w:r>
    </w:p>
    <w:p>
      <w:pPr>
        <w:pStyle w:val="NoSpacing"/>
        <w:shd w:fill="F2F4F7"/>
      </w:pPr>
      <w:r>
        <w:rPr>
          <w:rFonts w:ascii="Consolas" w:hAnsi="Consolas"/>
          <w:sz w:val="22"/>
        </w:rPr>
        <w:t>buscar CPF -&gt; carregar formulário -&gt; carregar lista</w:t>
        <w:br/>
        <w:t xml:space="preserve">           -&gt; carregar N detalhes -&gt; montar resumos completos</w:t>
      </w:r>
    </w:p>
    <w:p>
      <w:pPr>
        <w:pStyle w:val="ListBullet"/>
      </w:pPr>
      <w:r>
        <w:t>eventCount representava detail.events.length.</w:t>
      </w:r>
    </w:p>
    <w:p>
      <w:pPr>
        <w:pStyle w:val="ListBullet"/>
      </w:pPr>
      <w:r>
        <w:t>A última ocorrência vinha do primeiro evento do detalhe, com fallback para a lista.</w:t>
      </w:r>
    </w:p>
    <w:p>
      <w:pPr>
        <w:pStyle w:val="ListBullet"/>
      </w:pPr>
      <w:r>
        <w:t>Uma falha individual de detalhe podia comprometer a busca inteira.</w:t>
      </w:r>
    </w:p>
    <w:p>
      <w:pPr>
        <w:pStyle w:val="Heading1"/>
      </w:pPr>
      <w:r>
        <w:t>Fluxo após a otimização</w:t>
      </w:r>
    </w:p>
    <w:p>
      <w:r>
        <w:t>O caso de uso de listagem converte TrackingListItem diretamente em PackageSummary. O detalhe fica sob demanda: somente o pacote selecionado exige a consulta adicional.</w:t>
      </w:r>
    </w:p>
    <w:p>
      <w:pPr>
        <w:pStyle w:val="NoSpacing"/>
        <w:shd w:fill="F2F4F7"/>
      </w:pPr>
      <w:r>
        <w:rPr>
          <w:rFonts w:ascii="Consolas" w:hAnsi="Consolas"/>
          <w:sz w:val="22"/>
        </w:rPr>
        <w:t>buscar CPF -&gt; carregar formulário -&gt; carregar lista -&gt; mostrar resumos</w:t>
        <w:br/>
        <w:t xml:space="preserve">                                                  -&gt; abrir um item -&gt; carregar detalhe</w:t>
      </w:r>
    </w:p>
    <w:p>
      <w:r>
        <w:br w:type="page"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3600"/>
        <w:gridCol w:w="2700"/>
        <w:gridCol w:w="3060"/>
      </w:tblGrid>
      <w:tr>
        <w:trPr>
          <w:tblHeader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Cenário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Antes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</w:rPr>
              <w:t>Após a otimização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Busca com N encomendas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 + 2 chamadas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chamadas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Busca + abertura de um detalhe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 + 5 chamadas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 chamadas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Dados da listagem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enriquecidos pelos detalhes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somente campos disponíveis na lista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Carregamento de eventos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antecipado para todos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sob demanda por item</w:t>
            </w:r>
          </w:p>
        </w:tc>
      </w:tr>
    </w:tbl>
    <w:p/>
    <w:p>
      <w:pPr>
        <w:pStyle w:val="Heading1"/>
      </w:pPr>
      <w:r>
        <w:t>Mudanças de semântica</w:t>
      </w:r>
    </w:p>
    <w:p>
      <w:pPr>
        <w:pStyle w:val="ListBullet"/>
      </w:pPr>
      <w:r>
        <w:t>eventCount deixou de ser uma contagem real e passou a ser opcional no tipo; a implementação histórica ainda fornecia 1.</w:t>
      </w:r>
    </w:p>
    <w:p>
      <w:pPr>
        <w:pStyle w:val="ListBullet"/>
      </w:pPr>
      <w:r>
        <w:t>scrapedAt da listagem passou a ser criado no navegador após o recebimento.</w:t>
      </w:r>
    </w:p>
    <w:p>
      <w:pPr>
        <w:pStyle w:val="ListBullet"/>
      </w:pPr>
      <w:r>
        <w:t>A listagem deixou de retornar o envelope TrackingResponse e passou a retornar PackageSummary[].</w:t>
      </w:r>
    </w:p>
    <w:p>
      <w:pPr>
        <w:pStyle w:val="ListBullet"/>
      </w:pPr>
      <w:r>
        <w:t>O detalhe manteve seu envelope e continuou validando que o trackingId pertence ao CPF.</w:t>
      </w:r>
    </w:p>
    <w:p>
      <w:pPr>
        <w:pStyle w:val="Heading1"/>
      </w:pPr>
      <w:r>
        <w:t>Evolução posterior</w:t>
      </w:r>
    </w:p>
    <w:p>
      <w:r>
        <w:t>A etapa atual acrescenta cache de lista e detalhe no core, além do cache de detalhes no provider. Esses caches não substituem a otimização: eles reduzem repetições depois que o carregamento sob demanda já eliminou as N consultas iniciais.</w:t>
      </w:r>
    </w:p>
    <w:p>
      <w:pPr>
        <w:shd w:fill="F4F6F9"/>
        <w:pBdr>
          <w:left w:val="single" w:sz="18" w:space="6" w:color="2E74B5"/>
        </w:pBdr>
      </w:pPr>
      <w:r>
        <w:rPr>
          <w:b/>
          <w:color w:val="0B2545"/>
        </w:rPr>
        <w:t xml:space="preserve">Documento relacionado: </w:t>
      </w:r>
      <w:r>
        <w:t>04_CACHE_NO_CORE_E_CASOS_DE_USO explica TTL, chaves, hits, misses e limitações dos caches atuais.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Rotas públicas e estrutura de URLs</dc:title>
  <dc:subject>Documentação modular da segunda alteração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