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00"/>
      </w:pPr>
      <w:r>
        <w:rPr>
          <w:rFonts w:ascii="Calibri" w:hAnsi="Calibri"/>
          <w:b/>
          <w:color w:val="2E74B5"/>
          <w:sz w:val="18"/>
        </w:rPr>
        <w:t>DOCUMENTAÇÃO TÉCNICA · ALTERAÇÃO DOCUMENTADA</w:t>
      </w:r>
    </w:p>
    <w:p>
      <w:pPr>
        <w:keepNext/>
        <w:spacing w:after="140"/>
      </w:pPr>
      <w:r>
        <w:rPr>
          <w:rFonts w:ascii="Calibri" w:hAnsi="Calibri"/>
          <w:b/>
          <w:color w:val="0B2545"/>
          <w:sz w:val="50"/>
        </w:rPr>
        <w:t>Reestruturação visual, navegação e experiência de rastreamento</w:t>
      </w:r>
    </w:p>
    <w:p>
      <w:pPr>
        <w:keepNext/>
        <w:spacing w:after="300"/>
      </w:pPr>
      <w:r>
        <w:rPr>
          <w:rFonts w:ascii="Calibri" w:hAnsi="Calibri"/>
          <w:color w:val="1F4D78"/>
          <w:sz w:val="26"/>
        </w:rPr>
        <w:t>Shell lateral, busca no header, tabela filtrável e detalhe progressivo da encomenda</w:t>
      </w:r>
    </w:p>
    <w:p>
      <w:pPr>
        <w:spacing w:after="40"/>
      </w:pPr>
      <w:r>
        <w:rPr>
          <w:rFonts w:ascii="Calibri" w:hAnsi="Calibri"/>
          <w:b/>
          <w:color w:val="1F2933"/>
          <w:sz w:val="19"/>
        </w:rPr>
        <w:t xml:space="preserve">Fonte: </w:t>
      </w:r>
      <w:r>
        <w:rPr>
          <w:rFonts w:ascii="Calibri" w:hAnsi="Calibri"/>
          <w:color w:val="5B6573"/>
          <w:sz w:val="19"/>
        </w:rPr>
        <w:t>diff do working tree contra o commit 9f27ca51b152077f6736a247a0be9cb726aa2799</w:t>
      </w:r>
    </w:p>
    <w:p>
      <w:pPr>
        <w:spacing w:after="40"/>
      </w:pPr>
      <w:r>
        <w:rPr>
          <w:rFonts w:ascii="Calibri" w:hAnsi="Calibri"/>
          <w:b/>
          <w:color w:val="1F2933"/>
          <w:sz w:val="19"/>
        </w:rPr>
        <w:t xml:space="preserve">Branch: </w:t>
      </w:r>
      <w:r>
        <w:rPr>
          <w:rFonts w:ascii="Calibri" w:hAnsi="Calibri"/>
          <w:color w:val="5B6573"/>
          <w:sz w:val="19"/>
        </w:rPr>
        <w:t>v2-rastreamento</w:t>
      </w:r>
    </w:p>
    <w:p>
      <w:pPr>
        <w:spacing w:after="40"/>
      </w:pPr>
      <w:r>
        <w:rPr>
          <w:rFonts w:ascii="Calibri" w:hAnsi="Calibri"/>
          <w:b/>
          <w:color w:val="1F2933"/>
          <w:sz w:val="19"/>
        </w:rPr>
        <w:t xml:space="preserve">Data da revisão: </w:t>
      </w:r>
      <w:r>
        <w:rPr>
          <w:rFonts w:ascii="Calibri" w:hAnsi="Calibri"/>
          <w:color w:val="5B6573"/>
          <w:sz w:val="19"/>
        </w:rPr>
        <w:t>29 de julho de 2026</w:t>
      </w:r>
    </w:p>
    <w:p>
      <w:pPr>
        <w:spacing w:after="40"/>
      </w:pPr>
      <w:r>
        <w:rPr>
          <w:rFonts w:ascii="Calibri" w:hAnsi="Calibri"/>
          <w:b/>
          <w:color w:val="1F2933"/>
          <w:sz w:val="19"/>
        </w:rPr>
        <w:t xml:space="preserve">Escopo: </w:t>
      </w:r>
      <w:r>
        <w:rPr>
          <w:rFonts w:ascii="Calibri" w:hAnsi="Calibri"/>
          <w:color w:val="5B6573"/>
          <w:sz w:val="19"/>
        </w:rPr>
        <w:t>61 caminhos: 32 arquivos rastreados alterados/removidos e 29 arquivos novos</w:t>
      </w:r>
    </w:p>
    <w:p>
      <w:pPr>
        <w:spacing w:after="40"/>
      </w:pPr>
      <w:r>
        <w:rPr>
          <w:rFonts w:ascii="Calibri" w:hAnsi="Calibri"/>
          <w:b/>
          <w:color w:val="1F2933"/>
          <w:sz w:val="19"/>
        </w:rPr>
        <w:t xml:space="preserve">Arquivos principais: </w:t>
      </w:r>
      <w:r>
        <w:rPr>
          <w:rFonts w:ascii="Calibri" w:hAnsi="Calibri"/>
          <w:color w:val="5B6573"/>
          <w:sz w:val="19"/>
        </w:rPr>
        <w:t>app/(left-nav-bar); components/layout; components/ui; parser; tipos e constantes</w:t>
      </w:r>
    </w:p>
    <w:p>
      <w:pPr>
        <w:spacing w:after="120" w:line="264" w:lineRule="auto"/>
      </w:pPr>
      <w:r>
        <w:rPr>
          <w:rFonts w:ascii="Calibri" w:hAnsi="Calibri"/>
          <w:b/>
          <w:color w:val="0B2545"/>
          <w:sz w:val="22"/>
        </w:rPr>
        <w:t xml:space="preserve">Resultado: </w:t>
      </w:r>
      <w:r>
        <w:rPr>
          <w:rFonts w:ascii="Calibri" w:hAnsi="Calibri"/>
          <w:color w:val="1F2933"/>
          <w:sz w:val="22"/>
        </w:rPr>
        <w:t>a aplicação passa a usar um shell com sidebar e header contextual, busca de listagem no topo, filtros locais e detalhe com progresso e linha do tempo.</w:t>
      </w:r>
    </w:p>
    <w:p>
      <w:pPr>
        <w:pStyle w:val="Heading1"/>
      </w:pPr>
      <w:r>
        <w:t>Resumo executivo</w:t>
      </w:r>
    </w:p>
    <w:p>
      <w:pPr>
        <w:spacing w:after="120" w:line="264" w:lineRule="auto"/>
      </w:pPr>
      <w:r>
        <w:rPr>
          <w:rFonts w:ascii="Calibri" w:hAnsi="Calibri"/>
          <w:color w:val="1F2933"/>
          <w:sz w:val="22"/>
        </w:rPr>
        <w:t>O diff substitui a composição global baseada em Header, Footer e TrackingProvider por uma área autenticada visualmente organizada em sidebar e header contextual. As rotas de rastreamento passam a ficar colocalizadas em um route group do App Router, enquanto a busca por CPF, a listagem e o detalhe recebem componentes próprios.</w:t>
      </w:r>
    </w:p>
    <w:p>
      <w:pPr>
        <w:spacing w:after="120" w:line="264" w:lineRule="auto"/>
      </w:pPr>
      <w:r>
        <w:rPr>
          <w:rFonts w:ascii="Calibri" w:hAnsi="Calibri"/>
          <w:color w:val="1F2933"/>
          <w:sz w:val="22"/>
        </w:rPr>
        <w:t>A listagem mantém os campos já disponíveis no backend - nota fiscal, pedido, situação, destinatário e última atualização - mas adota busca client-side, filtros por situação, contador de resultados e tabela responsiva. O detalhe consolida o resumo em um único card e alterna entre progresso de três etapas e histórico completo.</w:t>
      </w:r>
    </w:p>
    <w:p>
      <w:pPr>
        <w:spacing w:before="80" w:after="200" w:line="264" w:lineRule="auto"/>
        <w:ind w:left="160" w:right="160"/>
        <w:shd w:fill="F2F4F7" w:val="clear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Impacto principal: </w:t>
      </w:r>
      <w:r>
        <w:rPr>
          <w:rFonts w:ascii="Calibri" w:hAnsi="Calibri"/>
          <w:color w:val="1F2933"/>
          <w:sz w:val="21"/>
        </w:rPr>
        <w:t>a mudança é predominantemente estrutural e visual; os endpoints SSW continuam sendo a fonte de dados, mas o frontend deixa de depender do provider de sessão para navegar.</w:t>
      </w:r>
    </w:p>
    <w:p>
      <w:pPr>
        <w:pStyle w:val="Heading1"/>
      </w:pPr>
      <w:r>
        <w:t>Inventário do diff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3330"/>
        <w:gridCol w:w="3930"/>
      </w:tblGrid>
      <w:tr>
        <w:trPr>
          <w:tblHeader w:val="true"/>
        </w:trPr>
        <w:tc>
          <w:tcPr>
            <w:tcW w:type="dxa" w:w="210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Área</w:t>
            </w:r>
          </w:p>
        </w:tc>
        <w:tc>
          <w:tcPr>
            <w:tcW w:type="dxa" w:w="333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Situação anterior</w:t>
            </w:r>
          </w:p>
        </w:tc>
        <w:tc>
          <w:tcPr>
            <w:tcW w:type="dxa" w:w="393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Situação no diff</w:t>
            </w:r>
          </w:p>
        </w:tc>
      </w:tr>
      <w:tr>
        <w:trPr/>
        <w:tc>
          <w:tcPr>
            <w:tcW w:type="dxa" w:w="21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Layout global</w:t>
            </w:r>
          </w:p>
        </w:tc>
        <w:tc>
          <w:tcPr>
            <w:tcW w:type="dxa" w:w="33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Header, Footer e TrackingProvider no RootLayout</w:t>
            </w:r>
          </w:p>
        </w:tc>
        <w:tc>
          <w:tcPr>
            <w:tcW w:type="dxa" w:w="39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TooltipProvider global e shell lateral no route group</w:t>
            </w:r>
          </w:p>
        </w:tc>
      </w:tr>
      <w:tr>
        <w:trPr/>
        <w:tc>
          <w:tcPr>
            <w:tcW w:type="dxa" w:w="21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Navegação</w:t>
            </w:r>
          </w:p>
        </w:tc>
        <w:tc>
          <w:tcPr>
            <w:tcW w:type="dxa" w:w="33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páginas públicas e links distribuídos</w:t>
            </w:r>
          </w:p>
        </w:tc>
        <w:tc>
          <w:tcPr>
            <w:tcW w:type="dxa" w:w="39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sidebar fixa, header contextual e botão de retorno</w:t>
            </w:r>
          </w:p>
        </w:tc>
      </w:tr>
      <w:tr>
        <w:trPr/>
        <w:tc>
          <w:tcPr>
            <w:tcW w:type="dxa" w:w="21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Busca por CPF</w:t>
            </w:r>
          </w:p>
        </w:tc>
        <w:tc>
          <w:tcPr>
            <w:tcW w:type="dxa" w:w="33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rota dinâmica /rastreamento/[cpf]</w:t>
            </w:r>
          </w:p>
        </w:tc>
        <w:tc>
          <w:tcPr>
            <w:tcW w:type="dxa" w:w="39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query string /rastreamento?cpf=... e card dedicado</w:t>
            </w:r>
          </w:p>
        </w:tc>
      </w:tr>
      <w:tr>
        <w:trPr/>
        <w:tc>
          <w:tcPr>
            <w:tcW w:type="dxa" w:w="21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Listagem</w:t>
            </w:r>
          </w:p>
        </w:tc>
        <w:tc>
          <w:tcPr>
            <w:tcW w:type="dxa" w:w="33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cards/tabela simples sem filtro local</w:t>
            </w:r>
          </w:p>
        </w:tc>
        <w:tc>
          <w:tcPr>
            <w:tcW w:type="dxa" w:w="39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tabela TanStack, busca no header e filtros por situação</w:t>
            </w:r>
          </w:p>
        </w:tc>
      </w:tr>
      <w:tr>
        <w:trPr/>
        <w:tc>
          <w:tcPr>
            <w:tcW w:type="dxa" w:w="21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Detalhe</w:t>
            </w:r>
          </w:p>
        </w:tc>
        <w:tc>
          <w:tcPr>
            <w:tcW w:type="dxa" w:w="33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dois cards e linha do tempo plana</w:t>
            </w:r>
          </w:p>
        </w:tc>
        <w:tc>
          <w:tcPr>
            <w:tcW w:type="dxa" w:w="39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um card, progresso resumido e histórico expansível</w:t>
            </w:r>
          </w:p>
        </w:tc>
      </w:tr>
      <w:tr>
        <w:trPr/>
        <w:tc>
          <w:tcPr>
            <w:tcW w:type="dxa" w:w="21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Design system</w:t>
            </w:r>
          </w:p>
        </w:tc>
        <w:tc>
          <w:tcPr>
            <w:tcW w:type="dxa" w:w="33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componentes utilitários próprios</w:t>
            </w:r>
          </w:p>
        </w:tc>
        <w:tc>
          <w:tcPr>
            <w:tcW w:type="dxa" w:w="39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Base UI, shadcn, CVA, Lucide e tokens CSS</w:t>
            </w:r>
          </w:p>
        </w:tc>
      </w:tr>
    </w:tbl>
    <w:p>
      <w:pPr>
        <w:spacing w:after="40"/>
      </w:pP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O diff rastreado registra 3.651 inserções e 1.339 remoções; o package-lock concentra a maior parte do volume.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Os 29 arquivos novos incluem rotas, componentes colocalizados, sidebar, busca compartilhada, hooks e primitives de UI.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Componentes legados em components/pages e components/tracking são removidos em favor da organização por rota.</w:t>
      </w:r>
    </w:p>
    <w:p>
      <w:pPr>
        <w:pStyle w:val="Heading1"/>
      </w:pPr>
      <w:r>
        <w:t>Rotas e shell de navegação</w:t>
      </w:r>
    </w:p>
    <w:p>
      <w:pPr>
        <w:spacing w:after="120" w:line="264" w:lineRule="auto"/>
      </w:pPr>
      <w:r>
        <w:rPr>
          <w:rFonts w:ascii="Calibri" w:hAnsi="Calibri"/>
          <w:color w:val="1F2933"/>
          <w:sz w:val="22"/>
        </w:rPr>
        <w:t>O route group (left-nav-bar) concentra as páginas que compartilham sidebar e header. O RootLayout fica responsável somente por fontes, estilos globais e tooltips; a navegação contextual é aplicada no layout interno.</w:t>
      </w:r>
    </w:p>
    <w:p>
      <w:pPr>
        <w:pStyle w:val="NoSpacing"/>
        <w:keepLines/>
        <w:spacing w:before="60" w:after="160"/>
        <w:ind w:left="160" w:right="160"/>
        <w:shd w:fill="F2F4F7" w:val="clear"/>
      </w:pPr>
      <w:r>
        <w:rPr>
          <w:rFonts w:ascii="Consolas" w:hAnsi="Consolas"/>
          <w:color w:val="1F2933"/>
          <w:sz w:val="19"/>
        </w:rPr>
        <w:t>/  -&gt; redirect /dashboard</w:t>
        <w:br/>
        <w:t>/rastreamento  -&gt; formulário de CPF</w:t>
        <w:br/>
        <w:t>/rastreamento?cpf=&lt;cpf&gt;  -&gt; listagem</w:t>
        <w:br/>
        <w:t>/rastreamento/detalhes-da-encomenda/&lt;id&gt;?cpf=&lt;cpf&gt;  -&gt; detalhe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3330"/>
        <w:gridCol w:w="3330"/>
      </w:tblGrid>
      <w:tr>
        <w:trPr>
          <w:tblHeader w:val="true"/>
        </w:trPr>
        <w:tc>
          <w:tcPr>
            <w:tcW w:type="dxa" w:w="270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Rota anterior</w:t>
            </w:r>
          </w:p>
        </w:tc>
        <w:tc>
          <w:tcPr>
            <w:tcW w:type="dxa" w:w="333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Rota atual</w:t>
            </w:r>
          </w:p>
        </w:tc>
        <w:tc>
          <w:tcPr>
            <w:tcW w:type="dxa" w:w="333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Motivação</w:t>
            </w:r>
          </w:p>
        </w:tc>
      </w:tr>
      <w:tr>
        <w:trPr/>
        <w:tc>
          <w:tcPr>
            <w:tcW w:type="dxa" w:w="27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/rastreamento/[cpf]</w:t>
            </w:r>
          </w:p>
        </w:tc>
        <w:tc>
          <w:tcPr>
            <w:tcW w:type="dxa" w:w="33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/rastreamento?cpf=&lt;cpf&gt;</w:t>
            </w:r>
          </w:p>
        </w:tc>
        <w:tc>
          <w:tcPr>
            <w:tcW w:type="dxa" w:w="33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manter busca e resultado na mesma página</w:t>
            </w:r>
          </w:p>
        </w:tc>
      </w:tr>
      <w:tr>
        <w:trPr/>
        <w:tc>
          <w:tcPr>
            <w:tcW w:type="dxa" w:w="27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/rastreamento/detalhes/[id]</w:t>
            </w:r>
          </w:p>
        </w:tc>
        <w:tc>
          <w:tcPr>
            <w:tcW w:type="dxa" w:w="33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/rastreamento/detalhes-da-encomenda/[id]</w:t>
            </w:r>
          </w:p>
        </w:tc>
        <w:tc>
          <w:tcPr>
            <w:tcW w:type="dxa" w:w="33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URL descritiva e retorno preservando o CPF</w:t>
            </w:r>
          </w:p>
        </w:tc>
      </w:tr>
      <w:tr>
        <w:trPr/>
        <w:tc>
          <w:tcPr>
            <w:tcW w:type="dxa" w:w="27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/</w:t>
            </w:r>
          </w:p>
        </w:tc>
        <w:tc>
          <w:tcPr>
            <w:tcW w:type="dxa" w:w="33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/dashboard</w:t>
            </w:r>
          </w:p>
        </w:tc>
        <w:tc>
          <w:tcPr>
            <w:tcW w:type="dxa" w:w="333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entrada explícita para a visão inicial</w:t>
            </w:r>
          </w:p>
        </w:tc>
      </w:tr>
    </w:tbl>
    <w:p>
      <w:pPr>
        <w:spacing w:after="40"/>
      </w:pP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AppSidebar centraliza marca, itens Início/Rastreamento e indicador operacional do gateway.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O item ativo usa slate-200, texto escuro e hover estável; o rótulo Navegação e a divisória do logo foram removidos.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HeaderBackButton resolve o retorno para lista ou busca e exibe o nome da rota quando não há ação de retorno.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HeaderPageTitle centraliza Detalhes da encomenda, enquanto HeaderTrackingSearch ocupa o mesmo espaço na listagem.</w:t>
      </w:r>
    </w:p>
    <w:p>
      <w:pPr>
        <w:pStyle w:val="Heading1"/>
      </w:pPr>
      <w:r>
        <w:t>Busca por CPF</w:t>
      </w:r>
    </w:p>
    <w:p>
      <w:pPr>
        <w:spacing w:after="120" w:line="264" w:lineRule="auto"/>
      </w:pPr>
      <w:r>
        <w:rPr>
          <w:rFonts w:ascii="Calibri" w:hAnsi="Calibri"/>
          <w:color w:val="1F2933"/>
          <w:sz w:val="22"/>
        </w:rPr>
        <w:t>A página sem CPF apresenta um card compacto max-w-lg, alinhado ao padrão slate da aplicação. O cabeçalho combina ícone PackageSearch e o título Buscar encomendas por CPF; o campo usa máscara, validação existente e placeholder direto.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O label visual foi ocultado com sr-only, preservando a acessibilidade.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O envio válido navega para /rastreamento?cpf=&lt;valor normalizado&gt;; erros permanecem junto ao campo.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Card, input e botão usam dimensões responsivas, rounded-xl/2xl, sombra leve e a paleta slate.</w:t>
      </w:r>
    </w:p>
    <w:p>
      <w:pPr>
        <w:pStyle w:val="Heading1"/>
      </w:pPr>
      <w:r>
        <w:t>Listagem de encomendas</w:t>
      </w:r>
    </w:p>
    <w:p>
      <w:pPr>
        <w:spacing w:after="120" w:line="264" w:lineRule="auto"/>
      </w:pPr>
      <w:r>
        <w:rPr>
          <w:rFonts w:ascii="Calibri" w:hAnsi="Calibri"/>
          <w:color w:val="1F2933"/>
          <w:sz w:val="22"/>
        </w:rPr>
        <w:t>PackageList foi refeito sobre TanStack Table. A tabela preserva somente dados presentes no PackageSummary e não introduz CTE, DACTE, unidade ou remetente inexistentes no contrato atual.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2300"/>
        <w:gridCol w:w="4760"/>
      </w:tblGrid>
      <w:tr>
        <w:trPr>
          <w:tblHeader w:val="true"/>
        </w:trPr>
        <w:tc>
          <w:tcPr>
            <w:tcW w:type="dxa" w:w="230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Coluna</w:t>
            </w:r>
          </w:p>
        </w:tc>
        <w:tc>
          <w:tcPr>
            <w:tcW w:type="dxa" w:w="230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Origem</w:t>
            </w:r>
          </w:p>
        </w:tc>
        <w:tc>
          <w:tcPr>
            <w:tcW w:type="dxa" w:w="476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Apresentação</w:t>
            </w:r>
          </w:p>
        </w:tc>
      </w:tr>
      <w:tr>
        <w:trPr/>
        <w:tc>
          <w:tcPr>
            <w:tcW w:type="dxa" w:w="23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Nota fiscal</w:t>
            </w:r>
          </w:p>
        </w:tc>
        <w:tc>
          <w:tcPr>
            <w:tcW w:type="dxa" w:w="23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nfNumber</w:t>
            </w:r>
          </w:p>
        </w:tc>
        <w:tc>
          <w:tcPr>
            <w:tcW w:type="dxa" w:w="47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valor em destaque</w:t>
            </w:r>
          </w:p>
        </w:tc>
      </w:tr>
      <w:tr>
        <w:trPr/>
        <w:tc>
          <w:tcPr>
            <w:tcW w:type="dxa" w:w="23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Pedido</w:t>
            </w:r>
          </w:p>
        </w:tc>
        <w:tc>
          <w:tcPr>
            <w:tcW w:type="dxa" w:w="23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orderNumber</w:t>
            </w:r>
          </w:p>
        </w:tc>
        <w:tc>
          <w:tcPr>
            <w:tcW w:type="dxa" w:w="47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texto compacto</w:t>
            </w:r>
          </w:p>
        </w:tc>
      </w:tr>
      <w:tr>
        <w:trPr/>
        <w:tc>
          <w:tcPr>
            <w:tcW w:type="dxa" w:w="23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Situação</w:t>
            </w:r>
          </w:p>
        </w:tc>
        <w:tc>
          <w:tcPr>
            <w:tcW w:type="dxa" w:w="23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currentStatus</w:t>
            </w:r>
          </w:p>
        </w:tc>
        <w:tc>
          <w:tcPr>
            <w:tcW w:type="dxa" w:w="47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badge semântico</w:t>
            </w:r>
          </w:p>
        </w:tc>
      </w:tr>
      <w:tr>
        <w:trPr/>
        <w:tc>
          <w:tcPr>
            <w:tcW w:type="dxa" w:w="23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Destinatário</w:t>
            </w:r>
          </w:p>
        </w:tc>
        <w:tc>
          <w:tcPr>
            <w:tcW w:type="dxa" w:w="23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recipient</w:t>
            </w:r>
          </w:p>
        </w:tc>
        <w:tc>
          <w:tcPr>
            <w:tcW w:type="dxa" w:w="47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até duas linhas</w:t>
            </w:r>
          </w:p>
        </w:tc>
      </w:tr>
      <w:tr>
        <w:trPr/>
        <w:tc>
          <w:tcPr>
            <w:tcW w:type="dxa" w:w="23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Última atualização</w:t>
            </w:r>
          </w:p>
        </w:tc>
        <w:tc>
          <w:tcPr>
            <w:tcW w:type="dxa" w:w="23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lastEvent</w:t>
            </w:r>
          </w:p>
        </w:tc>
        <w:tc>
          <w:tcPr>
            <w:tcW w:type="dxa" w:w="47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descrição truncada, tooltip e data relativa</w:t>
            </w:r>
          </w:p>
        </w:tc>
      </w:tr>
      <w:tr>
        <w:trPr/>
        <w:tc>
          <w:tcPr>
            <w:tcW w:type="dxa" w:w="23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Ações</w:t>
            </w:r>
          </w:p>
        </w:tc>
        <w:tc>
          <w:tcPr>
            <w:tcW w:type="dxa" w:w="23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id + cpf</w:t>
            </w:r>
          </w:p>
        </w:tc>
        <w:tc>
          <w:tcPr>
            <w:tcW w:type="dxa" w:w="47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Ver detalhes e linha inteira clicável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color w:val="1F2933"/>
          <w:sz w:val="22"/>
        </w:rPr>
        <w:t>A busca foi movida para o header e compartilhada por TrackingSearchContext. Ela filtra em memória sem alterar a URL e sem disparar nova consulta ao SSW.</w:t>
      </w:r>
    </w:p>
    <w:p>
      <w:pPr>
        <w:pStyle w:val="NoSpacing"/>
        <w:keepLines/>
        <w:spacing w:before="60" w:after="160"/>
        <w:ind w:left="160" w:right="160"/>
        <w:shd w:fill="F2F4F7" w:val="clear"/>
      </w:pPr>
      <w:r>
        <w:rPr>
          <w:rFonts w:ascii="Consolas" w:hAnsi="Consolas"/>
          <w:color w:val="1F2933"/>
          <w:sz w:val="19"/>
        </w:rPr>
        <w:t>entrada no header -&gt; normalização sem acentos -&gt; filtro local</w:t>
        <w:br/>
        <w:t>nota fiscal | pedido | destinatário | ocorrência | status</w:t>
        <w:br/>
        <w:t xml:space="preserve">                  + filtro de situação -&gt; linhas/cartões visíveis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Filtros disponíveis: Todos, Pedido, A caminho, Entregue e Devolvido.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O contador acompanha os resultados filtrados e a visualização mobile reutiliza PackageCard.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A tabela usa cabeçalho cinza, linhas de 72 px, separadores sutis e rolagem horizontal em larguras intermediárias.</w:t>
      </w:r>
    </w:p>
    <w:p>
      <w:pPr>
        <w:pStyle w:val="Heading1"/>
      </w:pPr>
      <w:r>
        <w:t>Detalhe da encomenda</w:t>
      </w:r>
    </w:p>
    <w:p>
      <w:pPr>
        <w:spacing w:after="120" w:line="264" w:lineRule="auto"/>
      </w:pPr>
      <w:r>
        <w:rPr>
          <w:rFonts w:ascii="Calibri" w:hAnsi="Calibri"/>
          <w:color w:val="1F2933"/>
          <w:sz w:val="22"/>
        </w:rPr>
        <w:t>O detalhe passa a usar um único card max-w-xl. A primeira linha contém Nota fiscal, Remetente e Última ocorrência; os valores recebem maior peso que os rótulos. O termo Remetente ainda é alimentado por item.recipient, ponto registrado nos riscos.</w:t>
      </w:r>
    </w:p>
    <w:p>
      <w:pPr>
        <w:spacing w:after="120" w:line="264" w:lineRule="auto"/>
      </w:pPr>
      <w:r>
        <w:rPr>
          <w:rFonts w:ascii="Calibri" w:hAnsi="Calibri"/>
          <w:color w:val="1F2933"/>
          <w:sz w:val="22"/>
        </w:rPr>
        <w:t>O conteúdo alterna entre dois estados mutuamente exclusivos. Fechado, exibe Status da encomenda e o progresso Pedido -&gt; A caminho -&gt; Entregue. Aberto, oculta o progresso e mostra somente o histórico detalhado. O mesmo controle no rodapé alterna Ver detalhes e Ocultar detalhes.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3000"/>
        <w:gridCol w:w="3760"/>
      </w:tblGrid>
      <w:tr>
        <w:trPr>
          <w:tblHeader w:val="true"/>
        </w:trPr>
        <w:tc>
          <w:tcPr>
            <w:tcW w:type="dxa" w:w="260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Status interno</w:t>
            </w:r>
          </w:p>
        </w:tc>
        <w:tc>
          <w:tcPr>
            <w:tcW w:type="dxa" w:w="300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Rótulo de interface</w:t>
            </w:r>
          </w:p>
        </w:tc>
        <w:tc>
          <w:tcPr>
            <w:tcW w:type="dxa" w:w="376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Etapa marcada</w:t>
            </w:r>
          </w:p>
        </w:tc>
      </w:tr>
      <w:tr>
        <w:trPr/>
        <w:tc>
          <w:tcPr>
            <w:tcW w:type="dxa" w:w="26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pendente</w:t>
            </w:r>
          </w:p>
        </w:tc>
        <w:tc>
          <w:tcPr>
            <w:tcW w:type="dxa" w:w="30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Pedido</w:t>
            </w:r>
          </w:p>
        </w:tc>
        <w:tc>
          <w:tcPr>
            <w:tcW w:type="dxa" w:w="37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Pedido</w:t>
            </w:r>
          </w:p>
        </w:tc>
      </w:tr>
      <w:tr>
        <w:trPr/>
        <w:tc>
          <w:tcPr>
            <w:tcW w:type="dxa" w:w="26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em_transito</w:t>
            </w:r>
          </w:p>
        </w:tc>
        <w:tc>
          <w:tcPr>
            <w:tcW w:type="dxa" w:w="30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A caminho</w:t>
            </w:r>
          </w:p>
        </w:tc>
        <w:tc>
          <w:tcPr>
            <w:tcW w:type="dxa" w:w="37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Pedido + A caminho</w:t>
            </w:r>
          </w:p>
        </w:tc>
      </w:tr>
      <w:tr>
        <w:trPr/>
        <w:tc>
          <w:tcPr>
            <w:tcW w:type="dxa" w:w="26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em_transferencia</w:t>
            </w:r>
          </w:p>
        </w:tc>
        <w:tc>
          <w:tcPr>
            <w:tcW w:type="dxa" w:w="30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A caminho</w:t>
            </w:r>
          </w:p>
        </w:tc>
        <w:tc>
          <w:tcPr>
            <w:tcW w:type="dxa" w:w="37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Pedido + A caminho</w:t>
            </w:r>
          </w:p>
        </w:tc>
      </w:tr>
      <w:tr>
        <w:trPr/>
        <w:tc>
          <w:tcPr>
            <w:tcW w:type="dxa" w:w="26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entregue</w:t>
            </w:r>
          </w:p>
        </w:tc>
        <w:tc>
          <w:tcPr>
            <w:tcW w:type="dxa" w:w="30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Entregue</w:t>
            </w:r>
          </w:p>
        </w:tc>
        <w:tc>
          <w:tcPr>
            <w:tcW w:type="dxa" w:w="37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todas as três etapas</w:t>
            </w:r>
          </w:p>
        </w:tc>
      </w:tr>
      <w:tr>
        <w:trPr/>
        <w:tc>
          <w:tcPr>
            <w:tcW w:type="dxa" w:w="26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devolvido</w:t>
            </w:r>
          </w:p>
        </w:tc>
        <w:tc>
          <w:tcPr>
            <w:tcW w:type="dxa" w:w="30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Devolvido</w:t>
            </w:r>
          </w:p>
        </w:tc>
        <w:tc>
          <w:tcPr>
            <w:tcW w:type="dxa" w:w="37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sem equivalência no progresso de três etapas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color w:val="1F2933"/>
          <w:sz w:val="22"/>
        </w:rPr>
        <w:t>A linha do tempo detalhada ordena os eventos do mais antigo para o mais recente, agrupa ocorrências consecutivas pelo rótulo de status e usa linha verde com marcadores compactos. Data, local e unidade aparecem em negrito; título e detalhe do evento são renderizados separadamente.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Pedido, A caminho e Entregue aparecem uma vez por grupo, evitando repetição visual.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O grupo atual recebe destaque verde; os logs permanecem em ordem cronológica crescente.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getEventContent recompõe o texto completo quando cache ou payload antigo não traz title/detail separados.</w:t>
      </w:r>
    </w:p>
    <w:p>
      <w:pPr>
        <w:pStyle w:val="Heading1"/>
      </w:pPr>
      <w:r>
        <w:t>Parser, tipos e semântica</w:t>
      </w:r>
    </w:p>
    <w:p>
      <w:pPr>
        <w:spacing w:after="120" w:line="264" w:lineRule="auto"/>
      </w:pPr>
      <w:r>
        <w:rPr>
          <w:rFonts w:ascii="Calibri" w:hAnsi="Calibri"/>
          <w:color w:val="1F2933"/>
          <w:sz w:val="22"/>
        </w:rPr>
        <w:t>TrackingEvent recebeu title e detail opcionais. parseTrackingListHtml e parseTrackingDetailHtml agora preservam esses valores além de description, permitindo hierarquia tipográfica sem descartar o texto original do SSW.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A função de mapeamento do parser continua derivando status por palavras-chave.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STATUS_LABELS consolida em_transito e em_transferencia como A caminho e renomeia pendente para Pedido.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STATUS_STYLES unifica a cor de transferência e trânsito em âmbar; entregue permanece verde.</w:t>
      </w:r>
    </w:p>
    <w:p>
      <w:pPr>
        <w:spacing w:before="80" w:after="200" w:line="264" w:lineRule="auto"/>
        <w:ind w:left="160" w:right="160"/>
        <w:shd w:fill="F2F4F7" w:val="clear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Compatibilidade: </w:t>
      </w:r>
      <w:r>
        <w:rPr>
          <w:rFonts w:ascii="Calibri" w:hAnsi="Calibri"/>
          <w:color w:val="1F2933"/>
          <w:sz w:val="21"/>
        </w:rPr>
        <w:t>title e detail são opcionais para aceitar objetos antigos de cache; a interface usa description como fallback e remove apenas a repetição exata do título.</w:t>
      </w:r>
    </w:p>
    <w:p>
      <w:pPr>
        <w:pStyle w:val="Heading1"/>
      </w:pPr>
      <w:r>
        <w:t>Design system e dependências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Dependência</w:t>
            </w:r>
          </w:p>
        </w:tc>
        <w:tc>
          <w:tcPr>
            <w:tcW w:type="dxa" w:w="636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Uso no diff</w:t>
            </w:r>
          </w:p>
        </w:tc>
      </w:tr>
      <w:tr>
        <w:trPr/>
        <w:tc>
          <w:tcPr>
            <w:tcW w:type="dxa" w:w="30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@base-ui/react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primitives acessíveis de input e button</w:t>
            </w:r>
          </w:p>
        </w:tc>
      </w:tr>
      <w:tr>
        <w:trPr/>
        <w:tc>
          <w:tcPr>
            <w:tcW w:type="dxa" w:w="30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@tanstack/react-table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modelo e renderização da tabela de encomendas</w:t>
            </w:r>
          </w:p>
        </w:tc>
      </w:tr>
      <w:tr>
        <w:trPr/>
        <w:tc>
          <w:tcPr>
            <w:tcW w:type="dxa" w:w="30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class-variance-authority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variantes tipadas dos componentes UI</w:t>
            </w:r>
          </w:p>
        </w:tc>
      </w:tr>
      <w:tr>
        <w:trPr/>
        <w:tc>
          <w:tcPr>
            <w:tcW w:type="dxa" w:w="30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clsx + tailwind-merge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composição e resolução de classes Tailwind</w:t>
            </w:r>
          </w:p>
        </w:tc>
      </w:tr>
      <w:tr>
        <w:trPr/>
        <w:tc>
          <w:tcPr>
            <w:tcW w:type="dxa" w:w="30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lucide-react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ícones de navegação, busca e rastreamento</w:t>
            </w:r>
          </w:p>
        </w:tc>
      </w:tr>
      <w:tr>
        <w:trPr/>
        <w:tc>
          <w:tcPr>
            <w:tcW w:type="dxa" w:w="300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shadcn + tw-animate-css</w:t>
            </w:r>
          </w:p>
        </w:tc>
        <w:tc>
          <w:tcPr>
            <w:tcW w:type="dxa" w:w="636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tokens, primitives e animações do design system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color w:val="1F2933"/>
          <w:sz w:val="22"/>
        </w:rPr>
        <w:t>globals.css foi expandido com tokens OKLCH para superfícies, texto, borda, input, charts e sidebar, além de variante dark e escalas de radius. RootLayout adiciona Geist ao lado de Inter e passa a fornecer TooltipProvider.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Novas primitives: separator, sheet, sidebar, table e tooltip; alert, button, card, input e skeleton foram alinhados ao padrão shadcn.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components.json registra aliases e configuração do gerador; use-mobile e lib/utils sustentam responsividade e cn.</w:t>
      </w:r>
    </w:p>
    <w:p>
      <w:pPr>
        <w:pStyle w:val="Heading1"/>
      </w:pPr>
      <w:r>
        <w:t>Arquivos removidos e substituídos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050"/>
        <w:gridCol w:w="5310"/>
      </w:tblGrid>
      <w:tr>
        <w:trPr>
          <w:tblHeader w:val="true"/>
        </w:trPr>
        <w:tc>
          <w:tcPr>
            <w:tcW w:type="dxa" w:w="405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Removido</w:t>
            </w:r>
          </w:p>
        </w:tc>
        <w:tc>
          <w:tcPr>
            <w:tcW w:type="dxa" w:w="5310"/>
            <w:vAlign w:val="center"/>
            <w:shd w:fill="E8EEF5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Substituição</w:t>
            </w:r>
          </w:p>
        </w:tc>
      </w:tr>
      <w:tr>
        <w:trPr/>
        <w:tc>
          <w:tcPr>
            <w:tcW w:type="dxa" w:w="405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src/app/page.tsx</w:t>
            </w:r>
          </w:p>
        </w:tc>
        <w:tc>
          <w:tcPr>
            <w:tcW w:type="dxa" w:w="531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src/app/(left-nav-bar)/page.tsx</w:t>
            </w:r>
          </w:p>
        </w:tc>
      </w:tr>
      <w:tr>
        <w:trPr/>
        <w:tc>
          <w:tcPr>
            <w:tcW w:type="dxa" w:w="405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src/app/rastreamento/[cpf]</w:t>
            </w:r>
          </w:p>
        </w:tc>
        <w:tc>
          <w:tcPr>
            <w:tcW w:type="dxa" w:w="531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src/app/(left-nav-bar)/rastreamento?cpf=...</w:t>
            </w:r>
          </w:p>
        </w:tc>
      </w:tr>
      <w:tr>
        <w:trPr/>
        <w:tc>
          <w:tcPr>
            <w:tcW w:type="dxa" w:w="405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src/app/rastreamento/detalhes/[id]</w:t>
            </w:r>
          </w:p>
        </w:tc>
        <w:tc>
          <w:tcPr>
            <w:tcW w:type="dxa" w:w="531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detalhes-da-encomenda/[id]</w:t>
            </w:r>
          </w:p>
        </w:tc>
      </w:tr>
      <w:tr>
        <w:trPr/>
        <w:tc>
          <w:tcPr>
            <w:tcW w:type="dxa" w:w="405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src/components/pages/*</w:t>
            </w:r>
          </w:p>
        </w:tc>
        <w:tc>
          <w:tcPr>
            <w:tcW w:type="dxa" w:w="531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páginas e componentes colocalizados na rota</w:t>
            </w:r>
          </w:p>
        </w:tc>
      </w:tr>
      <w:tr>
        <w:trPr/>
        <w:tc>
          <w:tcPr>
            <w:tcW w:type="dxa" w:w="405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src/components/tracking/*</w:t>
            </w:r>
          </w:p>
        </w:tc>
        <w:tc>
          <w:tcPr>
            <w:tcW w:type="dxa" w:w="531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rastreamento/_components/*</w:t>
            </w:r>
          </w:p>
        </w:tc>
      </w:tr>
      <w:tr>
        <w:trPr/>
        <w:tc>
          <w:tcPr>
            <w:tcW w:type="dxa" w:w="405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TrackingProvider</w:t>
            </w:r>
          </w:p>
        </w:tc>
        <w:tc>
          <w:tcPr>
            <w:tcW w:type="dxa" w:w="5310"/>
            <w:vAlign w:val="center"/>
            <w:shd w:fill="FFFFFF" w:val="clear"/>
            <w:tcBorders>
              <w:top w:val="single" w:sz="4" w:color="C7D4E3"/>
              <w:left w:val="single" w:sz="4" w:color="C7D4E3"/>
              <w:bottom w:val="single" w:sz="4" w:color="C7D4E3"/>
              <w:right w:val="single" w:sz="4" w:color="C7D4E3"/>
              <w:insideH w:val="single" w:sz="4" w:color="C7D4E3"/>
              <w:insideV w:val="single" w:sz="4" w:color="C7D4E3"/>
            </w:tcBorders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F2933"/>
                <w:sz w:val="20"/>
              </w:rPr>
              <w:t>CPF na URL, fetch nos views e busca local em TrackingSearchContext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/>
          <w:color w:val="1F2933"/>
          <w:sz w:val="22"/>
        </w:rPr>
        <w:t>Header e Footer deixam de compor o RootLayout. Header.tsx permanece no working tree, mas o shell ativo usa AppSidebar, HeaderBackButton, HeaderPageTitle e HeaderTrackingSearch.</w:t>
      </w:r>
    </w:p>
    <w:p>
      <w:pPr>
        <w:pStyle w:val="Heading1"/>
      </w:pPr>
      <w:r>
        <w:t>Validação e riscos</w:t>
      </w:r>
    </w:p>
    <w:p>
      <w:pPr>
        <w:spacing w:after="120" w:line="264" w:lineRule="auto"/>
      </w:pPr>
      <w:r>
        <w:rPr>
          <w:rFonts w:ascii="Calibri" w:hAnsi="Calibri"/>
          <w:color w:val="1F2933"/>
          <w:sz w:val="22"/>
        </w:rPr>
        <w:t>A revisão executou as verificações estáticas completas no estado documentado do working tree.</w:t>
      </w:r>
    </w:p>
    <w:p>
      <w:pPr>
        <w:pStyle w:val="NoSpacing"/>
        <w:keepLines/>
        <w:spacing w:before="60" w:after="160"/>
        <w:ind w:left="160" w:right="160"/>
        <w:shd w:fill="F2F4F7" w:val="clear"/>
      </w:pPr>
      <w:r>
        <w:rPr>
          <w:rFonts w:ascii="Consolas" w:hAnsi="Consolas"/>
          <w:color w:val="1F2933"/>
          <w:sz w:val="19"/>
        </w:rPr>
        <w:t>npm run lint</w:t>
        <w:br/>
        <w:t>npx tsc --noEmit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ESLint: concluído sem erros.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TypeScript: concluído sem erros.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O build de produção não foi executado nesta revisão para não concorrer com o servidor Next.js ativo.</w:t>
      </w:r>
    </w:p>
    <w:p>
      <w:pPr>
        <w:spacing w:after="120" w:line="264" w:lineRule="auto"/>
      </w:pPr>
      <w:r>
        <w:rPr>
          <w:rFonts w:ascii="Calibri" w:hAnsi="Calibri"/>
          <w:b/>
          <w:color w:val="0B2545"/>
          <w:sz w:val="22"/>
        </w:rPr>
        <w:t>Riscos e recomendações:</w:t>
      </w:r>
      <w:r>
        <w:rPr>
          <w:rFonts w:ascii="Calibri" w:hAnsi="Calibri"/>
          <w:color w:val="1F2933"/>
          <w:sz w:val="22"/>
        </w:rPr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Corrigir a semântica Remetente x recipient antes de publicar; hoje o rótulo não corresponde ao nome do campo.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Adicionar testes para classificação de status, agrupamento cronológico e fallback de title/detail.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Validar em CI Linux a coexistência de caminhos ui/Alert.tsx e ui/alert.tsx, pois sistemas case-sensitive podem tratar os arquivos como distintos.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Definir comportamento para status desconhecidos e para Devolvido no progresso de três etapas.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1F2933"/>
          <w:sz w:val="22"/>
        </w:rPr>
        <w:t>Executar teste responsivo e build de produção antes do merge, incluindo navegação direta com CPF e trackingId.</w:t>
      </w:r>
    </w:p>
    <w:p>
      <w:pPr>
        <w:spacing w:before="80" w:after="200" w:line="264" w:lineRule="auto"/>
        <w:ind w:left="160" w:right="160"/>
        <w:shd w:fill="F2F4F7" w:val="clear"/>
        <w:pBdr>
          <w:left w:val="single" w:sz="18" w:space="8" w:color="2E74B5"/>
        </w:pBdr>
      </w:pPr>
      <w:r>
        <w:rPr>
          <w:rFonts w:ascii="Calibri" w:hAnsi="Calibri"/>
          <w:b/>
          <w:color w:val="0B2545"/>
          <w:sz w:val="21"/>
        </w:rPr>
        <w:t xml:space="preserve">Documentos relacionados: </w:t>
      </w:r>
      <w:r>
        <w:rPr>
          <w:rFonts w:ascii="Calibri" w:hAnsi="Calibri"/>
          <w:color w:val="1F2933"/>
          <w:sz w:val="21"/>
        </w:rPr>
        <w:t>06_NAVEGACAO_LAYOUT_E_INTEGRACAO, 07_CONTRATOS_TIPOS_E_FLUXO_TECNICO, 08_RISCOS_PRIVACIDADE_E_COMPATIBILIDADE e 11_OTIMIZACAO_LISTAGEM_E_DETALHE_SOB_DEMANDA.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 w:eastAsia="Calibri"/>
        <w:b/>
        <w:color w:val="5B6573"/>
        <w:sz w:val="17"/>
      </w:rPr>
      <w:t>SSW TRACKER · DOCUMENTAÇÃO MODULAR</w:t>
      <w:tab/>
      <w:t>ALTERAÇÃO DOCUMENTADA</w:t>
    </w:r>
    <w:r>
      <w:rPr>
        <w:rFonts w:ascii="Calibri" w:hAnsi="Calibri" w:eastAsia="Calibri"/>
        <w:color w:val="5B6573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Reestruturação visual, navegação e experiência de rastreamento</dc:title>
  <dc:subject>Documentação técnica do diff atual</dc:subject>
  <dc:creator>SSW Tracker</dc:creator>
  <cp:keywords>rastreamento, sidebar, tabela, timeline, shadcn, Next.js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