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Python, AWS, Azure, SQL, Git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Gerenciador de Tarefas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Implementei funcionalidades avançadas com análise de dados e integração multilayer usando Python e banco NoSQL, para personalização e automação em ambiente web.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</w:t>
      </w:r>
      <w:hyperlink r:id="rId11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https://github.com/fakeuser/task-manager</w:t>
        </w:r>
      </w:hyperlink>
      <w:r>
        <w:t xml:space="preserve"/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Tenho forte experiência em desenvolvimento com Python, integração e automação em ambientes cloud (AWS, Azure), além de competências robustas em bancos de dados, programação orientada a objetos, versionamento e metodologias ágeis. Competências: Python, AWS, Azure, SQL, Git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Como desenvolvedor na Tech Solutions Ltda, colaborei na entrega de aplicações escaláveis, integração de APIs complexas e implantação de soluções em nuvem usando AWS e Azure, afim de garantir eficiência e automação robusta.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Aprendi fundamentos avançados de ciência da computação, programação em Python, estatística, machine learning e manipulação de dados, habilidades essenciais para atuar em projetos de IA e ciência de dados.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Desenvolvi lógica de sistemas automatizados e integração de tecnologias, ampliando minhas bases para soluções complexas e inovadoras.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Relationship Id="rId11" Type="http://schemas.openxmlformats.org/officeDocument/2006/relationships/hyperlink" Target="https://github.com/fakeuser/task-manager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  <dc:description/>
  <dc:identifier/>
  <dc:language/>
  <dc:subject/>
  <dc:title/>
</cp:coreProperties>
</file>