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C2B" w:rsidRDefault="00D14C2B" w:rsidP="00D5530C">
      <w:pPr>
        <w:pStyle w:val="Title"/>
      </w:pPr>
      <w:r>
        <w:t>NanoFIP Frame Structure</w:t>
      </w:r>
    </w:p>
    <w:p w:rsidR="00D14C2B" w:rsidRDefault="00D14C2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94"/>
        <w:gridCol w:w="2394"/>
        <w:gridCol w:w="1260"/>
        <w:gridCol w:w="3528"/>
      </w:tblGrid>
      <w:tr w:rsidR="00D14C2B" w:rsidRPr="00E12D4A" w:rsidTr="00E12D4A">
        <w:tc>
          <w:tcPr>
            <w:tcW w:w="9576" w:type="dxa"/>
            <w:gridSpan w:val="4"/>
          </w:tcPr>
          <w:p w:rsidR="00D14C2B" w:rsidRPr="00E12D4A" w:rsidRDefault="00D14C2B" w:rsidP="00E12D4A">
            <w:pPr>
              <w:spacing w:after="0" w:line="240" w:lineRule="auto"/>
              <w:jc w:val="center"/>
              <w:rPr>
                <w:b/>
              </w:rPr>
            </w:pPr>
            <w:r w:rsidRPr="00E12D4A">
              <w:rPr>
                <w:b/>
              </w:rPr>
              <w:t>Revision History</w:t>
            </w:r>
          </w:p>
        </w:tc>
      </w:tr>
      <w:tr w:rsidR="00D14C2B" w:rsidRPr="00E12D4A" w:rsidTr="00E12D4A">
        <w:tc>
          <w:tcPr>
            <w:tcW w:w="2394" w:type="dxa"/>
          </w:tcPr>
          <w:p w:rsidR="00D14C2B" w:rsidRPr="00E12D4A" w:rsidRDefault="00D14C2B" w:rsidP="00E12D4A">
            <w:pPr>
              <w:spacing w:after="0" w:line="240" w:lineRule="auto"/>
              <w:rPr>
                <w:b/>
                <w:i/>
              </w:rPr>
            </w:pPr>
            <w:r w:rsidRPr="00E12D4A">
              <w:rPr>
                <w:b/>
                <w:i/>
              </w:rPr>
              <w:t>Revision Number</w:t>
            </w:r>
          </w:p>
        </w:tc>
        <w:tc>
          <w:tcPr>
            <w:tcW w:w="2394" w:type="dxa"/>
          </w:tcPr>
          <w:p w:rsidR="00D14C2B" w:rsidRPr="00E12D4A" w:rsidRDefault="00D14C2B" w:rsidP="00E12D4A">
            <w:pPr>
              <w:spacing w:after="0" w:line="240" w:lineRule="auto"/>
              <w:rPr>
                <w:b/>
                <w:i/>
              </w:rPr>
            </w:pPr>
            <w:r w:rsidRPr="00E12D4A">
              <w:rPr>
                <w:b/>
                <w:i/>
              </w:rPr>
              <w:t>Date</w:t>
            </w:r>
          </w:p>
        </w:tc>
        <w:tc>
          <w:tcPr>
            <w:tcW w:w="1260" w:type="dxa"/>
          </w:tcPr>
          <w:p w:rsidR="00D14C2B" w:rsidRPr="00E12D4A" w:rsidRDefault="00D14C2B" w:rsidP="00E12D4A">
            <w:pPr>
              <w:spacing w:after="0" w:line="240" w:lineRule="auto"/>
              <w:rPr>
                <w:b/>
                <w:i/>
              </w:rPr>
            </w:pPr>
            <w:r w:rsidRPr="00E12D4A">
              <w:rPr>
                <w:b/>
                <w:i/>
              </w:rPr>
              <w:t>Pages</w:t>
            </w:r>
          </w:p>
        </w:tc>
        <w:tc>
          <w:tcPr>
            <w:tcW w:w="3528" w:type="dxa"/>
          </w:tcPr>
          <w:p w:rsidR="00D14C2B" w:rsidRPr="00E12D4A" w:rsidRDefault="00D14C2B" w:rsidP="00E12D4A">
            <w:pPr>
              <w:spacing w:after="0" w:line="240" w:lineRule="auto"/>
              <w:rPr>
                <w:b/>
                <w:i/>
              </w:rPr>
            </w:pPr>
            <w:r w:rsidRPr="00E12D4A">
              <w:rPr>
                <w:b/>
                <w:i/>
              </w:rPr>
              <w:t>Description</w:t>
            </w:r>
          </w:p>
        </w:tc>
      </w:tr>
      <w:tr w:rsidR="00D14C2B" w:rsidRPr="00E12D4A" w:rsidTr="00E12D4A">
        <w:tc>
          <w:tcPr>
            <w:tcW w:w="2394" w:type="dxa"/>
          </w:tcPr>
          <w:p w:rsidR="00D14C2B" w:rsidRPr="00E12D4A" w:rsidRDefault="00D14C2B" w:rsidP="00E12D4A">
            <w:pPr>
              <w:spacing w:after="0" w:line="240" w:lineRule="auto"/>
            </w:pPr>
            <w:r w:rsidRPr="00E12D4A">
              <w:t>v1.0</w:t>
            </w:r>
          </w:p>
        </w:tc>
        <w:tc>
          <w:tcPr>
            <w:tcW w:w="2394" w:type="dxa"/>
          </w:tcPr>
          <w:p w:rsidR="00D14C2B" w:rsidRPr="00E12D4A" w:rsidRDefault="00D14C2B" w:rsidP="00E12D4A">
            <w:pPr>
              <w:spacing w:after="0" w:line="240" w:lineRule="auto"/>
            </w:pPr>
            <w:r w:rsidRPr="00E12D4A">
              <w:t>04/08/2009</w:t>
            </w:r>
          </w:p>
        </w:tc>
        <w:tc>
          <w:tcPr>
            <w:tcW w:w="1260" w:type="dxa"/>
          </w:tcPr>
          <w:p w:rsidR="00D14C2B" w:rsidRPr="00E12D4A" w:rsidRDefault="00D14C2B" w:rsidP="00E12D4A">
            <w:pPr>
              <w:spacing w:after="0" w:line="240" w:lineRule="auto"/>
            </w:pPr>
            <w:r w:rsidRPr="00E12D4A">
              <w:t>ALL</w:t>
            </w:r>
          </w:p>
        </w:tc>
        <w:tc>
          <w:tcPr>
            <w:tcW w:w="3528" w:type="dxa"/>
          </w:tcPr>
          <w:p w:rsidR="00D14C2B" w:rsidRPr="00E12D4A" w:rsidRDefault="00D14C2B" w:rsidP="00E12D4A">
            <w:pPr>
              <w:spacing w:after="0" w:line="240" w:lineRule="auto"/>
            </w:pPr>
            <w:r w:rsidRPr="00E12D4A">
              <w:t>First Draft</w:t>
            </w:r>
          </w:p>
        </w:tc>
      </w:tr>
      <w:tr w:rsidR="00D14C2B" w:rsidRPr="00E12D4A" w:rsidTr="00E12D4A">
        <w:tc>
          <w:tcPr>
            <w:tcW w:w="2394" w:type="dxa"/>
          </w:tcPr>
          <w:p w:rsidR="00D14C2B" w:rsidRPr="00E12D4A" w:rsidRDefault="00D14C2B" w:rsidP="00E12D4A">
            <w:pPr>
              <w:spacing w:after="0" w:line="240" w:lineRule="auto"/>
            </w:pPr>
            <w:r w:rsidRPr="00E12D4A">
              <w:t>v1.1</w:t>
            </w:r>
          </w:p>
        </w:tc>
        <w:tc>
          <w:tcPr>
            <w:tcW w:w="2394" w:type="dxa"/>
          </w:tcPr>
          <w:p w:rsidR="00D14C2B" w:rsidRPr="00E12D4A" w:rsidRDefault="00D14C2B" w:rsidP="00E12D4A">
            <w:pPr>
              <w:spacing w:after="0" w:line="240" w:lineRule="auto"/>
            </w:pPr>
            <w:r w:rsidRPr="00E12D4A">
              <w:t>05/08/2009</w:t>
            </w:r>
          </w:p>
        </w:tc>
        <w:tc>
          <w:tcPr>
            <w:tcW w:w="1260" w:type="dxa"/>
          </w:tcPr>
          <w:p w:rsidR="00D14C2B" w:rsidRPr="00E12D4A" w:rsidRDefault="00D14C2B" w:rsidP="00E12D4A">
            <w:pPr>
              <w:spacing w:after="0" w:line="240" w:lineRule="auto"/>
            </w:pPr>
            <w:r w:rsidRPr="00E12D4A">
              <w:t>ALL</w:t>
            </w:r>
          </w:p>
        </w:tc>
        <w:tc>
          <w:tcPr>
            <w:tcW w:w="3528" w:type="dxa"/>
          </w:tcPr>
          <w:p w:rsidR="00D14C2B" w:rsidRPr="00E12D4A" w:rsidRDefault="00D14C2B" w:rsidP="00E12D4A">
            <w:pPr>
              <w:spacing w:after="0" w:line="240" w:lineRule="auto"/>
            </w:pPr>
            <w:r w:rsidRPr="00E12D4A">
              <w:t>Minor mistake correction after review from E. van der Bij. Addition of hyperlinks to the referenced documents and made clear which bit is transmitted first for each field.</w:t>
            </w:r>
          </w:p>
        </w:tc>
      </w:tr>
    </w:tbl>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tbl>
      <w:tblPr>
        <w:tblpPr w:leftFromText="180" w:rightFromText="180" w:vertAnchor="text" w:horzAnchor="margin" w:tblpY="1810"/>
        <w:tblW w:w="0" w:type="auto"/>
        <w:tblLook w:val="00A0"/>
      </w:tblPr>
      <w:tblGrid>
        <w:gridCol w:w="4788"/>
        <w:gridCol w:w="4788"/>
      </w:tblGrid>
      <w:tr w:rsidR="00D14C2B" w:rsidRPr="00E12D4A" w:rsidTr="00E12D4A">
        <w:tc>
          <w:tcPr>
            <w:tcW w:w="4788" w:type="dxa"/>
          </w:tcPr>
          <w:p w:rsidR="00D14C2B" w:rsidRPr="00E12D4A" w:rsidRDefault="00D14C2B" w:rsidP="00E12D4A">
            <w:pPr>
              <w:spacing w:after="0" w:line="240" w:lineRule="auto"/>
              <w:jc w:val="center"/>
              <w:rPr>
                <w:b/>
                <w:i/>
              </w:rPr>
            </w:pPr>
            <w:r w:rsidRPr="00E12D4A">
              <w:rPr>
                <w:b/>
                <w:i/>
              </w:rPr>
              <w:t>Author:</w:t>
            </w:r>
          </w:p>
        </w:tc>
        <w:tc>
          <w:tcPr>
            <w:tcW w:w="4788" w:type="dxa"/>
          </w:tcPr>
          <w:p w:rsidR="00D14C2B" w:rsidRPr="00E12D4A" w:rsidRDefault="00D14C2B" w:rsidP="00E12D4A">
            <w:pPr>
              <w:spacing w:after="0" w:line="240" w:lineRule="auto"/>
              <w:jc w:val="center"/>
              <w:rPr>
                <w:b/>
                <w:i/>
              </w:rPr>
            </w:pPr>
            <w:r w:rsidRPr="00E12D4A">
              <w:rPr>
                <w:b/>
                <w:i/>
              </w:rPr>
              <w:t>Checked by:</w:t>
            </w:r>
          </w:p>
        </w:tc>
      </w:tr>
      <w:tr w:rsidR="00D14C2B" w:rsidRPr="00E12D4A" w:rsidTr="00E12D4A">
        <w:tc>
          <w:tcPr>
            <w:tcW w:w="4788" w:type="dxa"/>
          </w:tcPr>
          <w:p w:rsidR="00D14C2B" w:rsidRPr="00E12D4A" w:rsidRDefault="00D14C2B" w:rsidP="00E12D4A">
            <w:pPr>
              <w:spacing w:after="0" w:line="240" w:lineRule="auto"/>
              <w:jc w:val="center"/>
            </w:pPr>
            <w:r w:rsidRPr="00E12D4A">
              <w:t>Panayiotis Georgiou</w:t>
            </w:r>
          </w:p>
        </w:tc>
        <w:tc>
          <w:tcPr>
            <w:tcW w:w="4788" w:type="dxa"/>
          </w:tcPr>
          <w:p w:rsidR="00D14C2B" w:rsidRPr="00E12D4A" w:rsidRDefault="00D14C2B" w:rsidP="00E12D4A">
            <w:pPr>
              <w:spacing w:after="0" w:line="240" w:lineRule="auto"/>
              <w:jc w:val="center"/>
            </w:pPr>
            <w:r w:rsidRPr="00E12D4A">
              <w:t>Erik van der Bij</w:t>
            </w:r>
          </w:p>
        </w:tc>
      </w:tr>
    </w:tbl>
    <w:p w:rsidR="00D14C2B" w:rsidRDefault="00D14C2B">
      <w:r>
        <w:br w:type="page"/>
      </w:r>
    </w:p>
    <w:p w:rsidR="00D14C2B" w:rsidRDefault="00D14C2B" w:rsidP="003F0A5E">
      <w:pPr>
        <w:pStyle w:val="Heading1"/>
      </w:pPr>
      <w:r>
        <w:t>Introduction</w:t>
      </w:r>
    </w:p>
    <w:p w:rsidR="00D14C2B" w:rsidRDefault="00D14C2B" w:rsidP="004E4D0B">
      <w:pPr>
        <w:jc w:val="both"/>
      </w:pPr>
      <w:r>
        <w:t xml:space="preserve">The NanoFIP is an FPGA component implementing a minimal subset of the services offered by the WorldFIP protocol. NanoFIP is intended to be used as a station, producer or consumer of a variable and not as a bus arbiter. The station should be able to handle two types of frames: an </w:t>
      </w:r>
      <w:r w:rsidRPr="00370F6C">
        <w:rPr>
          <w:i/>
        </w:rPr>
        <w:t>ID_DAT</w:t>
      </w:r>
      <w:r>
        <w:t xml:space="preserve"> and an </w:t>
      </w:r>
      <w:r w:rsidRPr="00370F6C">
        <w:rPr>
          <w:i/>
        </w:rPr>
        <w:t>RP_DAT</w:t>
      </w:r>
      <w:r>
        <w:t>.</w:t>
      </w:r>
    </w:p>
    <w:p w:rsidR="00D14C2B" w:rsidRDefault="00D14C2B" w:rsidP="004E4D0B">
      <w:pPr>
        <w:jc w:val="both"/>
      </w:pPr>
      <w:r>
        <w:t xml:space="preserve">An </w:t>
      </w:r>
      <w:r w:rsidRPr="00370F6C">
        <w:t>ID_DAT</w:t>
      </w:r>
      <w:r>
        <w:t>, the structure of which is shown in Figure 1, is broadcast by the bus arbiter to all the stations connected to the network segment to request for a specific variable. The station-producer of the variable will respond to this request by broadcasting to all the stations an RP_DAT frame shown in Figure 2, containing the variable requested. Finally the stations-consumers of this variable will consume the RP_DAT frame and the rest of the stations will simply ignore it.</w:t>
      </w:r>
    </w:p>
    <w:p w:rsidR="00D14C2B" w:rsidRDefault="00D14C2B" w:rsidP="00E76F9A">
      <w:pPr>
        <w:pStyle w:val="NoSpacing"/>
        <w:jc w:val="center"/>
      </w:pPr>
      <w:r>
        <w:rPr>
          <w:noProof/>
        </w:rPr>
      </w:r>
      <w:r>
        <w:pict>
          <v:group id="_x0000_s1026" style="width:359.4pt;height:37.7pt;mso-position-horizontal-relative:char;mso-position-vertical-relative:line" coordorigin="2520,6480" coordsize="7188,754">
            <v:group id="_x0000_s1027" style="position:absolute;left:2520;top:6908;width:7188;height:326" coordorigin="1452,5818" coordsize="7188,326" o:regroupid="3">
              <v:shapetype id="_x0000_t202" coordsize="21600,21600" o:spt="202" path="m,l,21600r21600,l21600,xe">
                <v:stroke joinstyle="miter"/>
                <v:path gradientshapeok="t" o:connecttype="rect"/>
              </v:shapetype>
              <v:shape id="_x0000_s1028" type="#_x0000_t202" style="position:absolute;left:1452;top:5842;width:1440;height:302;mso-position-horizontal:left;mso-position-horizontal-relative:margin" strokecolor="white">
                <v:textbox style="mso-next-textbox:#_x0000_s1028" inset=",0">
                  <w:txbxContent>
                    <w:p w:rsidR="00D14C2B" w:rsidRPr="00E76F9A" w:rsidRDefault="00D14C2B" w:rsidP="00E76F9A">
                      <w:pPr>
                        <w:pStyle w:val="NoSpacing"/>
                        <w:jc w:val="center"/>
                        <w:rPr>
                          <w:sz w:val="18"/>
                          <w:szCs w:val="18"/>
                        </w:rPr>
                      </w:pPr>
                      <w:r w:rsidRPr="00E76F9A">
                        <w:rPr>
                          <w:sz w:val="18"/>
                          <w:szCs w:val="18"/>
                        </w:rPr>
                        <w:t>2 bytes</w:t>
                      </w:r>
                    </w:p>
                  </w:txbxContent>
                </v:textbox>
              </v:shape>
              <v:shape id="_x0000_s1029" type="#_x0000_t202" style="position:absolute;left:2880;top:5818;width:1440;height:302;mso-position-horizontal-relative:margin" strokecolor="white">
                <v:textbox style="mso-next-textbox:#_x0000_s1029" inset=",0">
                  <w:txbxContent>
                    <w:p w:rsidR="00D14C2B" w:rsidRPr="00E76F9A" w:rsidRDefault="00D14C2B" w:rsidP="00E76F9A">
                      <w:pPr>
                        <w:pStyle w:val="NoSpacing"/>
                        <w:jc w:val="center"/>
                        <w:rPr>
                          <w:sz w:val="18"/>
                          <w:szCs w:val="18"/>
                        </w:rPr>
                      </w:pPr>
                      <w:r w:rsidRPr="00E76F9A">
                        <w:rPr>
                          <w:sz w:val="18"/>
                          <w:szCs w:val="18"/>
                        </w:rPr>
                        <w:t>1 byte</w:t>
                      </w:r>
                    </w:p>
                  </w:txbxContent>
                </v:textbox>
              </v:shape>
              <v:shape id="_x0000_s1030" type="#_x0000_t202" style="position:absolute;left:4320;top:5818;width:1440;height:302;mso-position-horizontal-relative:margin" strokecolor="white">
                <v:textbox style="mso-next-textbox:#_x0000_s1030" inset=",0">
                  <w:txbxContent>
                    <w:p w:rsidR="00D14C2B" w:rsidRPr="00E76F9A" w:rsidRDefault="00D14C2B" w:rsidP="00E76F9A">
                      <w:pPr>
                        <w:pStyle w:val="NoSpacing"/>
                        <w:jc w:val="center"/>
                        <w:rPr>
                          <w:sz w:val="18"/>
                        </w:rPr>
                      </w:pPr>
                      <w:r>
                        <w:rPr>
                          <w:sz w:val="18"/>
                        </w:rPr>
                        <w:t>2 bytes</w:t>
                      </w:r>
                    </w:p>
                  </w:txbxContent>
                </v:textbox>
              </v:shape>
              <v:shape id="_x0000_s1031" type="#_x0000_t202" style="position:absolute;left:5760;top:5818;width:1440;height:302;mso-position-horizontal-relative:margin" strokecolor="white">
                <v:textbox style="mso-next-textbox:#_x0000_s1031" inset=",0">
                  <w:txbxContent>
                    <w:p w:rsidR="00D14C2B" w:rsidRPr="00E76F9A" w:rsidRDefault="00D14C2B" w:rsidP="00E76F9A">
                      <w:pPr>
                        <w:pStyle w:val="NoSpacing"/>
                        <w:jc w:val="center"/>
                        <w:rPr>
                          <w:sz w:val="18"/>
                        </w:rPr>
                      </w:pPr>
                      <w:r>
                        <w:rPr>
                          <w:sz w:val="18"/>
                        </w:rPr>
                        <w:t>2 bytes</w:t>
                      </w:r>
                    </w:p>
                  </w:txbxContent>
                </v:textbox>
              </v:shape>
              <v:shape id="_x0000_s1032" type="#_x0000_t202" style="position:absolute;left:7200;top:5818;width:1440;height:302;mso-position-horizontal-relative:margin" strokecolor="white">
                <v:textbox style="mso-next-textbox:#_x0000_s1032" inset=",0">
                  <w:txbxContent>
                    <w:p w:rsidR="00D14C2B" w:rsidRPr="00E76F9A" w:rsidRDefault="00D14C2B" w:rsidP="00E76F9A">
                      <w:pPr>
                        <w:pStyle w:val="NoSpacing"/>
                        <w:jc w:val="center"/>
                        <w:rPr>
                          <w:sz w:val="18"/>
                        </w:rPr>
                      </w:pPr>
                      <w:r>
                        <w:rPr>
                          <w:sz w:val="18"/>
                        </w:rPr>
                        <w:t>1 byte</w:t>
                      </w:r>
                    </w:p>
                  </w:txbxContent>
                </v:textbox>
              </v:shape>
            </v:group>
            <v:group id="_x0000_s1033" style="position:absolute;left:2520;top:6480;width:7188;height:428" coordorigin="1452,5390" coordsize="7188,428" o:regroupid="3">
              <v:shape id="_x0000_s1034" type="#_x0000_t202" style="position:absolute;left:1452;top:5390;width:1440;height:428;mso-position-horizontal:left;mso-position-horizontal-relative:margin;v-text-anchor:middle">
                <v:textbox style="mso-next-textbox:#_x0000_s1034;mso-fit-shape-to-text:t">
                  <w:txbxContent>
                    <w:p w:rsidR="00D14C2B" w:rsidRDefault="00D14C2B" w:rsidP="00E76F9A">
                      <w:pPr>
                        <w:pStyle w:val="NoSpacing"/>
                        <w:jc w:val="center"/>
                      </w:pPr>
                      <w:r>
                        <w:t>FSS</w:t>
                      </w:r>
                    </w:p>
                  </w:txbxContent>
                </v:textbox>
              </v:shape>
              <v:shape id="_x0000_s1035" type="#_x0000_t202" style="position:absolute;left:2880;top:5390;width:1440;height:428;mso-position-horizontal-relative:margin;v-text-anchor:middle">
                <v:textbox style="mso-next-textbox:#_x0000_s1035;mso-fit-shape-to-text:t">
                  <w:txbxContent>
                    <w:p w:rsidR="00D14C2B" w:rsidRDefault="00D14C2B" w:rsidP="00E76F9A">
                      <w:pPr>
                        <w:pStyle w:val="NoSpacing"/>
                        <w:jc w:val="center"/>
                      </w:pPr>
                      <w:r>
                        <w:t>Control</w:t>
                      </w:r>
                    </w:p>
                  </w:txbxContent>
                </v:textbox>
              </v:shape>
              <v:shape id="_x0000_s1036" type="#_x0000_t202" style="position:absolute;left:4320;top:5390;width:1440;height:428;mso-position-horizontal-relative:margin;v-text-anchor:middle">
                <v:textbox style="mso-next-textbox:#_x0000_s1036;mso-fit-shape-to-text:t">
                  <w:txbxContent>
                    <w:p w:rsidR="00D14C2B" w:rsidRDefault="00D14C2B" w:rsidP="00E76F9A">
                      <w:pPr>
                        <w:pStyle w:val="NoSpacing"/>
                        <w:jc w:val="center"/>
                      </w:pPr>
                      <w:r>
                        <w:t>Identifier</w:t>
                      </w:r>
                    </w:p>
                  </w:txbxContent>
                </v:textbox>
              </v:shape>
              <v:shape id="_x0000_s1037" type="#_x0000_t202" style="position:absolute;left:5760;top:5390;width:1440;height:428;mso-position-horizontal-relative:margin;v-text-anchor:middle">
                <v:textbox style="mso-next-textbox:#_x0000_s1037;mso-fit-shape-to-text:t">
                  <w:txbxContent>
                    <w:p w:rsidR="00D14C2B" w:rsidRDefault="00D14C2B" w:rsidP="00E76F9A">
                      <w:pPr>
                        <w:pStyle w:val="NoSpacing"/>
                        <w:jc w:val="center"/>
                      </w:pPr>
                      <w:r>
                        <w:t>FCS</w:t>
                      </w:r>
                    </w:p>
                  </w:txbxContent>
                </v:textbox>
              </v:shape>
              <v:shape id="_x0000_s1038" type="#_x0000_t202" style="position:absolute;left:7200;top:5390;width:1440;height:428;mso-position-horizontal-relative:margin;v-text-anchor:middle">
                <v:textbox style="mso-next-textbox:#_x0000_s1038;mso-fit-shape-to-text:t">
                  <w:txbxContent>
                    <w:p w:rsidR="00D14C2B" w:rsidRDefault="00D14C2B" w:rsidP="00E76F9A">
                      <w:pPr>
                        <w:pStyle w:val="NoSpacing"/>
                        <w:jc w:val="center"/>
                      </w:pPr>
                      <w:r>
                        <w:t>FES</w:t>
                      </w:r>
                    </w:p>
                  </w:txbxContent>
                </v:textbox>
              </v:shape>
            </v:group>
            <w10:anchorlock/>
          </v:group>
        </w:pict>
      </w:r>
    </w:p>
    <w:p w:rsidR="00D14C2B" w:rsidRPr="00E76F9A" w:rsidRDefault="00D14C2B" w:rsidP="00E76F9A">
      <w:pPr>
        <w:pStyle w:val="NoSpacing"/>
        <w:jc w:val="center"/>
        <w:rPr>
          <w:i/>
        </w:rPr>
      </w:pPr>
      <w:r w:rsidRPr="00E76F9A">
        <w:rPr>
          <w:b/>
        </w:rPr>
        <w:t>Figure 1</w:t>
      </w:r>
      <w:r>
        <w:t xml:space="preserve">: </w:t>
      </w:r>
      <w:r>
        <w:rPr>
          <w:i/>
        </w:rPr>
        <w:t xml:space="preserve">ID_DAT frame </w:t>
      </w:r>
      <w:r w:rsidRPr="00EA09DF">
        <w:rPr>
          <w:i/>
        </w:rPr>
        <w:t>structure [</w:t>
      </w:r>
      <w:hyperlink r:id="rId6" w:history="1">
        <w:r w:rsidRPr="00D64902">
          <w:rPr>
            <w:rStyle w:val="Hyperlink"/>
            <w:i/>
          </w:rPr>
          <w:t>IEC-61158-4-7 p32</w:t>
        </w:r>
      </w:hyperlink>
      <w:r w:rsidRPr="00EA09DF">
        <w:rPr>
          <w:i/>
        </w:rPr>
        <w:t>]</w:t>
      </w:r>
    </w:p>
    <w:p w:rsidR="00D14C2B" w:rsidRDefault="00D14C2B" w:rsidP="00E76F9A">
      <w:pPr>
        <w:jc w:val="center"/>
      </w:pPr>
    </w:p>
    <w:p w:rsidR="00D14C2B" w:rsidRDefault="00D14C2B" w:rsidP="00E76F9A">
      <w:pPr>
        <w:pStyle w:val="NoSpacing"/>
        <w:jc w:val="center"/>
      </w:pPr>
      <w:r>
        <w:rPr>
          <w:noProof/>
        </w:rPr>
      </w:r>
      <w:r>
        <w:pict>
          <v:group id="_x0000_s1039" style="width:359.4pt;height:37.7pt;mso-position-horizontal-relative:char;mso-position-vertical-relative:line" coordorigin="2525,5410" coordsize="7188,754">
            <v:group id="_x0000_s1040" style="position:absolute;left:2525;top:5838;width:7188;height:326" coordorigin="1452,5818" coordsize="7188,326" o:regroupid="2">
              <v:shape id="_x0000_s1041" type="#_x0000_t202" style="position:absolute;left:1452;top:5842;width:1440;height:302;mso-position-horizontal:left;mso-position-horizontal-relative:margin" o:regroupid="1" strokecolor="white">
                <v:textbox inset=",0">
                  <w:txbxContent>
                    <w:p w:rsidR="00D14C2B" w:rsidRPr="00E76F9A" w:rsidRDefault="00D14C2B" w:rsidP="00E76F9A">
                      <w:pPr>
                        <w:pStyle w:val="NoSpacing"/>
                        <w:jc w:val="center"/>
                        <w:rPr>
                          <w:sz w:val="18"/>
                          <w:szCs w:val="18"/>
                        </w:rPr>
                      </w:pPr>
                      <w:r w:rsidRPr="00E76F9A">
                        <w:rPr>
                          <w:sz w:val="18"/>
                          <w:szCs w:val="18"/>
                        </w:rPr>
                        <w:t>2 bytes</w:t>
                      </w:r>
                    </w:p>
                  </w:txbxContent>
                </v:textbox>
              </v:shape>
              <v:shape id="_x0000_s1042" type="#_x0000_t202" style="position:absolute;left:2880;top:5818;width:1440;height:302;mso-position-horizontal-relative:margin" o:regroupid="1" strokecolor="white">
                <v:textbox inset=",0">
                  <w:txbxContent>
                    <w:p w:rsidR="00D14C2B" w:rsidRPr="00E76F9A" w:rsidRDefault="00D14C2B" w:rsidP="00E76F9A">
                      <w:pPr>
                        <w:pStyle w:val="NoSpacing"/>
                        <w:jc w:val="center"/>
                        <w:rPr>
                          <w:sz w:val="18"/>
                          <w:szCs w:val="18"/>
                        </w:rPr>
                      </w:pPr>
                      <w:r w:rsidRPr="00E76F9A">
                        <w:rPr>
                          <w:sz w:val="18"/>
                          <w:szCs w:val="18"/>
                        </w:rPr>
                        <w:t>1 byte</w:t>
                      </w:r>
                    </w:p>
                  </w:txbxContent>
                </v:textbox>
              </v:shape>
              <v:shape id="_x0000_s1043" type="#_x0000_t202" style="position:absolute;left:432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0&lt;n&lt;128 bytes</w:t>
                      </w:r>
                    </w:p>
                    <w:p w:rsidR="00D14C2B" w:rsidRPr="00E76F9A" w:rsidRDefault="00D14C2B" w:rsidP="00E76F9A"/>
                  </w:txbxContent>
                </v:textbox>
              </v:shape>
              <v:shape id="_x0000_s1044" type="#_x0000_t202" style="position:absolute;left:576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2 bytes</w:t>
                      </w:r>
                    </w:p>
                  </w:txbxContent>
                </v:textbox>
              </v:shape>
              <v:shape id="_x0000_s1045" type="#_x0000_t202" style="position:absolute;left:720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1 byte</w:t>
                      </w:r>
                    </w:p>
                  </w:txbxContent>
                </v:textbox>
              </v:shape>
            </v:group>
            <v:group id="_x0000_s1046" style="position:absolute;left:2525;top:5410;width:7188;height:428" coordorigin="1452,5390" coordsize="7188,428" o:regroupid="2">
              <v:shape id="_x0000_s1047" type="#_x0000_t202" style="position:absolute;left:1452;top:5390;width:1440;height:428;mso-position-horizontal:left;mso-position-horizontal-relative:margin;v-text-anchor:middle">
                <v:textbox style="mso-fit-shape-to-text:t">
                  <w:txbxContent>
                    <w:p w:rsidR="00D14C2B" w:rsidRDefault="00D14C2B" w:rsidP="00E76F9A">
                      <w:pPr>
                        <w:pStyle w:val="NoSpacing"/>
                        <w:jc w:val="center"/>
                      </w:pPr>
                      <w:r>
                        <w:t>FSS</w:t>
                      </w:r>
                    </w:p>
                  </w:txbxContent>
                </v:textbox>
              </v:shape>
              <v:shape id="_x0000_s1048" type="#_x0000_t202" style="position:absolute;left:2880;top:5390;width:1440;height:428;mso-position-horizontal-relative:margin;v-text-anchor:middle">
                <v:textbox style="mso-fit-shape-to-text:t">
                  <w:txbxContent>
                    <w:p w:rsidR="00D14C2B" w:rsidRDefault="00D14C2B" w:rsidP="00E76F9A">
                      <w:pPr>
                        <w:pStyle w:val="NoSpacing"/>
                        <w:jc w:val="center"/>
                      </w:pPr>
                      <w:r>
                        <w:t>Control</w:t>
                      </w:r>
                    </w:p>
                  </w:txbxContent>
                </v:textbox>
              </v:shape>
              <v:shape id="_x0000_s1049" type="#_x0000_t202" style="position:absolute;left:4320;top:5390;width:1440;height:428;mso-position-horizontal-relative:margin;v-text-anchor:middle">
                <v:textbox style="mso-fit-shape-to-text:t">
                  <w:txbxContent>
                    <w:p w:rsidR="00D14C2B" w:rsidRDefault="00D14C2B" w:rsidP="00E76F9A">
                      <w:pPr>
                        <w:pStyle w:val="NoSpacing"/>
                        <w:jc w:val="center"/>
                      </w:pPr>
                      <w:r>
                        <w:t>Data</w:t>
                      </w:r>
                    </w:p>
                  </w:txbxContent>
                </v:textbox>
              </v:shape>
              <v:shape id="_x0000_s1050" type="#_x0000_t202" style="position:absolute;left:5760;top:5390;width:1440;height:428;mso-position-horizontal-relative:margin;v-text-anchor:middle">
                <v:textbox style="mso-fit-shape-to-text:t">
                  <w:txbxContent>
                    <w:p w:rsidR="00D14C2B" w:rsidRDefault="00D14C2B" w:rsidP="00E76F9A">
                      <w:pPr>
                        <w:pStyle w:val="NoSpacing"/>
                        <w:jc w:val="center"/>
                      </w:pPr>
                      <w:r>
                        <w:t>FCS</w:t>
                      </w:r>
                    </w:p>
                  </w:txbxContent>
                </v:textbox>
              </v:shape>
              <v:shape id="_x0000_s1051" type="#_x0000_t202" style="position:absolute;left:7200;top:5390;width:1440;height:428;mso-position-horizontal-relative:margin;v-text-anchor:middle">
                <v:textbox style="mso-fit-shape-to-text:t">
                  <w:txbxContent>
                    <w:p w:rsidR="00D14C2B" w:rsidRDefault="00D14C2B" w:rsidP="00E76F9A">
                      <w:pPr>
                        <w:pStyle w:val="NoSpacing"/>
                        <w:jc w:val="center"/>
                      </w:pPr>
                      <w:r>
                        <w:t>FES</w:t>
                      </w:r>
                    </w:p>
                  </w:txbxContent>
                </v:textbox>
              </v:shape>
            </v:group>
            <w10:anchorlock/>
          </v:group>
        </w:pict>
      </w:r>
    </w:p>
    <w:p w:rsidR="00D14C2B" w:rsidRDefault="00D14C2B" w:rsidP="00183081">
      <w:pPr>
        <w:jc w:val="center"/>
      </w:pPr>
      <w:r w:rsidRPr="00E76F9A">
        <w:rPr>
          <w:b/>
        </w:rPr>
        <w:t>Figure 2</w:t>
      </w:r>
      <w:r>
        <w:t xml:space="preserve">: </w:t>
      </w:r>
      <w:r w:rsidRPr="00587E9A">
        <w:rPr>
          <w:i/>
        </w:rPr>
        <w:t xml:space="preserve">RP_DAT frame </w:t>
      </w:r>
      <w:r w:rsidRPr="00EA09DF">
        <w:rPr>
          <w:i/>
        </w:rPr>
        <w:t>structure [</w:t>
      </w:r>
      <w:hyperlink r:id="rId7" w:history="1">
        <w:r w:rsidRPr="00D64902">
          <w:rPr>
            <w:rStyle w:val="Hyperlink"/>
            <w:i/>
          </w:rPr>
          <w:t>IEC-61158-4-7 p32</w:t>
        </w:r>
      </w:hyperlink>
      <w:r w:rsidRPr="00EA09DF">
        <w:rPr>
          <w:i/>
        </w:rPr>
        <w:t>]</w:t>
      </w:r>
    </w:p>
    <w:p w:rsidR="00D14C2B" w:rsidRDefault="00D14C2B" w:rsidP="00183081">
      <w:pPr>
        <w:jc w:val="both"/>
      </w:pPr>
      <w:r>
        <w:t>The following sections describe the structure of each of the two frame types. Since most of the fields are the same between the two frames unless otherwise specified, what is described in the following sections is applicable to both. It is also important to note that in all fields described the leftmost bit (MSB) is transmitted first and the rightmost bit (LSB) is transmitted last.</w:t>
      </w:r>
    </w:p>
    <w:p w:rsidR="00D14C2B" w:rsidRDefault="00D14C2B" w:rsidP="003F0A5E">
      <w:pPr>
        <w:pStyle w:val="Heading1"/>
      </w:pPr>
      <w:r>
        <w:t>Coding</w:t>
      </w:r>
    </w:p>
    <w:p w:rsidR="00D14C2B" w:rsidRDefault="00D14C2B" w:rsidP="00CD74CA">
      <w:pPr>
        <w:jc w:val="both"/>
      </w:pPr>
      <w:r>
        <w:t>Each data bit exchanged between the station is encoded before transmission using the Manchester 2 code. This code ensures that there is one transition for each bit. Therefore the signal carrying the data is self-clocking. This helps clock recovery. Additionally, since the average high time is equal to the low time, the code prevents DC built up. The coding scheme is described in Figure 3.</w:t>
      </w:r>
    </w:p>
    <w:p w:rsidR="00D14C2B" w:rsidRDefault="00D14C2B" w:rsidP="00A141C4">
      <w:pPr>
        <w:pStyle w:val="NoSpacing"/>
      </w:pPr>
      <w:r>
        <w:rPr>
          <w:noProof/>
        </w:rPr>
      </w:r>
      <w:r>
        <w:pict>
          <v:group id="_x0000_s1052" style="width:466.15pt;height:64.25pt;mso-position-horizontal-relative:char;mso-position-vertical-relative:line" coordorigin="1463,12339" coordsize="9323,1285">
            <v:group id="_x0000_s1053" style="position:absolute;left:1463;top:12352;width:1880;height:879;mso-position-horizontal-relative:margin" coordorigin="1851,12528" coordsize="1328,62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2019;top:12528;width:992;height:621" o:connectortype="elbow" adj=",-437948,-43962" strokeweight="1.5pt"/>
              <v:shapetype id="_x0000_t32" coordsize="21600,21600" o:spt="32" o:oned="t" path="m,l21600,21600e" filled="f">
                <v:path arrowok="t" fillok="f" o:connecttype="none"/>
                <o:lock v:ext="edit" shapetype="t"/>
              </v:shapetype>
              <v:shape id="_x0000_s1055" type="#_x0000_t32" style="position:absolute;left:1851;top:12838;width:1328;height:1" o:connectortype="straight">
                <v:stroke endarrow="block"/>
              </v:shape>
              <v:shape id="_x0000_s1056" type="#_x0000_t32" style="position:absolute;left:2027;top:12528;width:0;height:310" o:connectortype="straight">
                <v:stroke dashstyle="1 1" endcap="round"/>
              </v:shape>
              <v:shape id="_x0000_s1057" type="#_x0000_t32" style="position:absolute;left:2995;top:12838;width:0;height:310" o:connectortype="straight">
                <v:stroke dashstyle="1 1" endcap="round"/>
              </v:shape>
            </v:group>
            <v:group id="_x0000_s1058" style="position:absolute;left:3964;top:12339;width:1880;height:879" coordorigin="3606,12359" coordsize="1880,879">
              <v:shape id="_x0000_s1059" type="#_x0000_t34" style="position:absolute;left:3844;top:12359;width:1404;height:879;flip:x" o:connectortype="elbow" o:regroupid="4" adj=",-437948,-43962" strokeweight="1.5pt"/>
              <v:shape id="_x0000_s1060" type="#_x0000_t32" style="position:absolute;left:3606;top:12798;width:1880;height:1" o:connectortype="straight" o:regroupid="4">
                <v:stroke endarrow="block"/>
              </v:shape>
              <v:shape id="_x0000_s1061" type="#_x0000_t32" style="position:absolute;left:5237;top:12359;width:0;height:439;flip:x" o:connectortype="straight" o:regroupid="4">
                <v:stroke dashstyle="1 1" endcap="round"/>
              </v:shape>
              <v:shape id="_x0000_s1062" type="#_x0000_t32" style="position:absolute;left:3866;top:12798;width:0;height:439;flip:x" o:connectortype="straight" o:regroupid="4">
                <v:stroke dashstyle="1 1" endcap="round"/>
              </v:shape>
            </v:group>
            <v:group id="_x0000_s1063" style="position:absolute;left:6479;top:12348;width:1880;height:440" coordorigin="5796,12359" coordsize="1880,440">
              <v:shape id="_x0000_s1064" type="#_x0000_t32" style="position:absolute;left:6034;top:12359;width:1404;height:0;rotation:180" o:connectortype="elbow" o:regroupid="5" adj="-114431,-1,-114431" strokeweight="1.5pt"/>
              <v:shape id="_x0000_s1065" type="#_x0000_t32" style="position:absolute;left:5796;top:12798;width:1880;height:1" o:connectortype="straight" o:regroupid="5">
                <v:stroke endarrow="block"/>
              </v:shape>
              <v:shape id="_x0000_s1066" type="#_x0000_t32" style="position:absolute;left:7427;top:12359;width:0;height:439;flip:x" o:connectortype="straight" o:regroupid="5">
                <v:stroke dashstyle="1 1" endcap="round"/>
              </v:shape>
              <v:shape id="_x0000_s1067" type="#_x0000_t32" style="position:absolute;left:6040;top:12359;width:1;height:439;flip:x y" o:connectortype="straight" o:regroupid="5">
                <v:stroke dashstyle="1 1" endcap="round"/>
              </v:shape>
            </v:group>
            <v:group id="_x0000_s1068" style="position:absolute;left:8906;top:12788;width:1880;height:440;flip:y" coordorigin="5796,12359" coordsize="1880,440">
              <v:shape id="_x0000_s1069" type="#_x0000_t32" style="position:absolute;left:6034;top:12359;width:1404;height:0;rotation:180" o:connectortype="elbow" adj="-114431,-1,-114431" strokeweight="1.5pt"/>
              <v:shape id="_x0000_s1070" type="#_x0000_t32" style="position:absolute;left:5796;top:12798;width:1880;height:1" o:connectortype="straight">
                <v:stroke endarrow="block"/>
              </v:shape>
              <v:shape id="_x0000_s1071" type="#_x0000_t32" style="position:absolute;left:7427;top:12359;width:0;height:439;flip:x" o:connectortype="straight">
                <v:stroke dashstyle="1 1" endcap="round"/>
              </v:shape>
              <v:shape id="_x0000_s1072" type="#_x0000_t32" style="position:absolute;left:6040;top:12359;width:1;height:439;flip:x y" o:connectortype="straight">
                <v:stroke dashstyle="1 1" endcap="round"/>
              </v:shape>
            </v:group>
            <v:shape id="_x0000_s1073" type="#_x0000_t202" style="position:absolute;left:1490;top:12792;width:422;height:269" filled="f" stroked="f" strokecolor="white">
              <v:textbox style="mso-next-textbox:#_x0000_s1073;mso-fit-shape-to-text:t" inset="0,0,0,0">
                <w:txbxContent>
                  <w:p w:rsidR="00D14C2B" w:rsidRPr="00A339F3" w:rsidRDefault="00D14C2B" w:rsidP="00A339F3">
                    <w:pPr>
                      <w:pStyle w:val="NoSpacing"/>
                      <w:jc w:val="center"/>
                    </w:pPr>
                    <w:r>
                      <w:t>-</w:t>
                    </w:r>
                    <w:r w:rsidRPr="00A339F3">
                      <w:t>T</w:t>
                    </w:r>
                    <w:r>
                      <w:t>/2</w:t>
                    </w:r>
                  </w:p>
                </w:txbxContent>
              </v:textbox>
            </v:shape>
            <v:shape id="_x0000_s1074" type="#_x0000_t202" style="position:absolute;left:4014;top:12509;width:422;height:269" filled="f" stroked="f" strokecolor="white">
              <v:textbox style="mso-next-textbox:#_x0000_s1074;mso-fit-shape-to-text:t" inset="0,0,0,0">
                <w:txbxContent>
                  <w:p w:rsidR="00D14C2B" w:rsidRPr="00A339F3" w:rsidRDefault="00D14C2B" w:rsidP="00A339F3">
                    <w:pPr>
                      <w:pStyle w:val="NoSpacing"/>
                      <w:jc w:val="center"/>
                    </w:pPr>
                    <w:r>
                      <w:t>-</w:t>
                    </w:r>
                    <w:r w:rsidRPr="00A339F3">
                      <w:t>T</w:t>
                    </w:r>
                    <w:r>
                      <w:t>/2</w:t>
                    </w:r>
                  </w:p>
                </w:txbxContent>
              </v:textbox>
            </v:shape>
            <v:shape id="_x0000_s1075" type="#_x0000_t202" style="position:absolute;left:6511;top:12779;width:422;height:269" filled="f" stroked="f" strokecolor="white">
              <v:textbox style="mso-next-textbox:#_x0000_s1075;mso-fit-shape-to-text:t" inset="0,0,0,0">
                <w:txbxContent>
                  <w:p w:rsidR="00D14C2B" w:rsidRPr="00A339F3" w:rsidRDefault="00D14C2B" w:rsidP="00A339F3">
                    <w:pPr>
                      <w:pStyle w:val="NoSpacing"/>
                      <w:jc w:val="center"/>
                    </w:pPr>
                    <w:r>
                      <w:t>-</w:t>
                    </w:r>
                    <w:r w:rsidRPr="00A339F3">
                      <w:t>T</w:t>
                    </w:r>
                    <w:r>
                      <w:t>/2</w:t>
                    </w:r>
                  </w:p>
                </w:txbxContent>
              </v:textbox>
            </v:shape>
            <v:shape id="_x0000_s1076" type="#_x0000_t202" style="position:absolute;left:8936;top:12523;width:422;height:269" filled="f" stroked="f" strokecolor="white">
              <v:textbox style="mso-next-textbox:#_x0000_s1076;mso-fit-shape-to-text:t" inset="0,0,0,0">
                <w:txbxContent>
                  <w:p w:rsidR="00D14C2B" w:rsidRPr="00A339F3" w:rsidRDefault="00D14C2B" w:rsidP="00A339F3">
                    <w:pPr>
                      <w:pStyle w:val="NoSpacing"/>
                      <w:jc w:val="center"/>
                    </w:pPr>
                    <w:r>
                      <w:t>-</w:t>
                    </w:r>
                    <w:r w:rsidRPr="00A339F3">
                      <w:t>T</w:t>
                    </w:r>
                    <w:r>
                      <w:t>/2</w:t>
                    </w:r>
                  </w:p>
                </w:txbxContent>
              </v:textbox>
            </v:shape>
            <v:shape id="_x0000_s1077" type="#_x0000_t202" style="position:absolute;left:2867;top:12518;width:422;height:269" filled="f" stroked="f" strokecolor="white">
              <v:textbox style="mso-next-textbox:#_x0000_s1077;mso-fit-shape-to-text:t" inset="0,0,0,0">
                <w:txbxContent>
                  <w:p w:rsidR="00D14C2B" w:rsidRPr="00A339F3" w:rsidRDefault="00D14C2B" w:rsidP="00A339F3">
                    <w:pPr>
                      <w:pStyle w:val="NoSpacing"/>
                      <w:jc w:val="center"/>
                    </w:pPr>
                    <w:r w:rsidRPr="00A339F3">
                      <w:t>T</w:t>
                    </w:r>
                    <w:r>
                      <w:t>/2</w:t>
                    </w:r>
                  </w:p>
                </w:txbxContent>
              </v:textbox>
            </v:shape>
            <v:shape id="_x0000_s1078" type="#_x0000_t202" style="position:absolute;left:7897;top:12778;width:422;height:269" filled="f" stroked="f" strokecolor="white">
              <v:textbox style="mso-next-textbox:#_x0000_s1078;mso-fit-shape-to-text:t" inset="0,0,0,0">
                <w:txbxContent>
                  <w:p w:rsidR="00D14C2B" w:rsidRPr="00A339F3" w:rsidRDefault="00D14C2B" w:rsidP="00A339F3">
                    <w:pPr>
                      <w:pStyle w:val="NoSpacing"/>
                      <w:jc w:val="center"/>
                    </w:pPr>
                    <w:r w:rsidRPr="00A339F3">
                      <w:t>T</w:t>
                    </w:r>
                    <w:r>
                      <w:t>/2</w:t>
                    </w:r>
                  </w:p>
                </w:txbxContent>
              </v:textbox>
            </v:shape>
            <v:shape id="_x0000_s1079" type="#_x0000_t202" style="position:absolute;left:10318;top:12523;width:422;height:269" filled="f" stroked="f" strokecolor="white">
              <v:textbox style="mso-next-textbox:#_x0000_s1079;mso-fit-shape-to-text:t" inset="0,0,0,0">
                <w:txbxContent>
                  <w:p w:rsidR="00D14C2B" w:rsidRPr="00A339F3" w:rsidRDefault="00D14C2B" w:rsidP="00A339F3">
                    <w:pPr>
                      <w:pStyle w:val="NoSpacing"/>
                      <w:jc w:val="center"/>
                    </w:pPr>
                    <w:r w:rsidRPr="00A339F3">
                      <w:t>T</w:t>
                    </w:r>
                    <w:r>
                      <w:t>/2</w:t>
                    </w:r>
                  </w:p>
                </w:txbxContent>
              </v:textbox>
            </v:shape>
            <v:shape id="_x0000_s1080" type="#_x0000_t202" style="position:absolute;left:1463;top:13217;width:1826;height:407" filled="f" stroked="f">
              <v:textbox style="mso-next-textbox:#_x0000_s1080">
                <w:txbxContent>
                  <w:p w:rsidR="00D14C2B" w:rsidRDefault="00D14C2B" w:rsidP="00A141C4">
                    <w:pPr>
                      <w:jc w:val="center"/>
                    </w:pPr>
                    <w:r>
                      <w:t>Logical 1</w:t>
                    </w:r>
                  </w:p>
                </w:txbxContent>
              </v:textbox>
            </v:shape>
            <v:shape id="_x0000_s1081" type="#_x0000_t202" style="position:absolute;left:3948;top:13217;width:1826;height:407" filled="f" stroked="f">
              <v:textbox style="mso-next-textbox:#_x0000_s1081">
                <w:txbxContent>
                  <w:p w:rsidR="00D14C2B" w:rsidRDefault="00D14C2B" w:rsidP="00A141C4">
                    <w:pPr>
                      <w:jc w:val="center"/>
                    </w:pPr>
                    <w:r>
                      <w:t>Logical 0</w:t>
                    </w:r>
                  </w:p>
                </w:txbxContent>
              </v:textbox>
            </v:shape>
            <v:shape id="_x0000_s1082" type="#_x0000_t202" style="position:absolute;left:6442;top:13217;width:1826;height:407" filled="f" stroked="f">
              <v:textbox style="mso-next-textbox:#_x0000_s1082">
                <w:txbxContent>
                  <w:p w:rsidR="00D14C2B" w:rsidRDefault="00D14C2B" w:rsidP="00A141C4">
                    <w:pPr>
                      <w:jc w:val="center"/>
                    </w:pPr>
                    <w:r>
                      <w:t>Violation V+</w:t>
                    </w:r>
                  </w:p>
                </w:txbxContent>
              </v:textbox>
            </v:shape>
            <v:shape id="_x0000_s1083" type="#_x0000_t202" style="position:absolute;left:8936;top:13217;width:1826;height:407" filled="f" stroked="f">
              <v:textbox style="mso-next-textbox:#_x0000_s1083">
                <w:txbxContent>
                  <w:p w:rsidR="00D14C2B" w:rsidRDefault="00D14C2B" w:rsidP="00A141C4">
                    <w:pPr>
                      <w:jc w:val="center"/>
                    </w:pPr>
                    <w:r>
                      <w:t>Violation V-</w:t>
                    </w:r>
                  </w:p>
                </w:txbxContent>
              </v:textbox>
            </v:shape>
            <v:shape id="_x0000_s1084" type="#_x0000_t202" style="position:absolute;left:5382;top:12778;width:422;height:269" filled="f" stroked="f" strokecolor="white">
              <v:textbox style="mso-next-textbox:#_x0000_s1084;mso-fit-shape-to-text:t" inset="0,0,0,0">
                <w:txbxContent>
                  <w:p w:rsidR="00D14C2B" w:rsidRPr="00A339F3" w:rsidRDefault="00D14C2B" w:rsidP="00A141C4">
                    <w:pPr>
                      <w:pStyle w:val="NoSpacing"/>
                      <w:jc w:val="center"/>
                    </w:pPr>
                    <w:r w:rsidRPr="00A339F3">
                      <w:t>T</w:t>
                    </w:r>
                    <w:r>
                      <w:t>/2</w:t>
                    </w:r>
                  </w:p>
                </w:txbxContent>
              </v:textbox>
            </v:shape>
            <w10:anchorlock/>
          </v:group>
        </w:pict>
      </w:r>
    </w:p>
    <w:p w:rsidR="00D14C2B" w:rsidRDefault="00D14C2B" w:rsidP="00CA51A6">
      <w:pPr>
        <w:jc w:val="center"/>
      </w:pPr>
      <w:r w:rsidRPr="00A141C4">
        <w:rPr>
          <w:b/>
        </w:rPr>
        <w:t>Figure 3</w:t>
      </w:r>
      <w:r>
        <w:t xml:space="preserve">: </w:t>
      </w:r>
      <w:r w:rsidRPr="00CA51A6">
        <w:rPr>
          <w:i/>
        </w:rPr>
        <w:t>Manchester 2 coding scheme</w:t>
      </w:r>
    </w:p>
    <w:p w:rsidR="00D14C2B" w:rsidRDefault="00D14C2B" w:rsidP="003F0A5E">
      <w:pPr>
        <w:pStyle w:val="Heading1"/>
      </w:pPr>
      <w:r>
        <w:t>Frame Start Sequence (FSS)</w:t>
      </w:r>
    </w:p>
    <w:p w:rsidR="00D14C2B" w:rsidRDefault="00D14C2B" w:rsidP="00464FBF">
      <w:pPr>
        <w:jc w:val="both"/>
      </w:pPr>
      <w:r>
        <w:t xml:space="preserve">The </w:t>
      </w:r>
      <w:r>
        <w:rPr>
          <w:i/>
        </w:rPr>
        <w:t>Frame Start Sequence (FSS)</w:t>
      </w:r>
      <w:r>
        <w:t xml:space="preserve"> consists of the </w:t>
      </w:r>
      <w:r>
        <w:rPr>
          <w:i/>
        </w:rPr>
        <w:t xml:space="preserve">Preamble (PRE) </w:t>
      </w:r>
      <w:r>
        <w:t xml:space="preserve">and the </w:t>
      </w:r>
      <w:r>
        <w:rPr>
          <w:i/>
        </w:rPr>
        <w:t>Frame Start Delimiter (FSD)</w:t>
      </w:r>
      <w:r>
        <w:t xml:space="preserve">. </w:t>
      </w:r>
    </w:p>
    <w:p w:rsidR="00D14C2B" w:rsidRDefault="00D14C2B" w:rsidP="00464FBF">
      <w:pPr>
        <w:jc w:val="both"/>
      </w:pPr>
      <w:r>
        <w:t>The preamble is transmitted at the beginning of a frame in order to synchronise bit times and may contain from 8 bits down to as few as 4 bits [</w:t>
      </w:r>
      <w:hyperlink r:id="rId8" w:history="1">
        <w:r w:rsidRPr="00D64902">
          <w:rPr>
            <w:rStyle w:val="Hyperlink"/>
          </w:rPr>
          <w:t>IEC-61158-2 p122</w:t>
        </w:r>
      </w:hyperlink>
      <w:r>
        <w:t>]. The structure of the preamble field is shown in Figure 4.</w:t>
      </w:r>
    </w:p>
    <w:p w:rsidR="00D14C2B" w:rsidRDefault="00D14C2B" w:rsidP="00E70E53">
      <w:pPr>
        <w:pStyle w:val="NoSpacing"/>
        <w:jc w:val="center"/>
      </w:pPr>
      <w:r>
        <w:rPr>
          <w:noProof/>
        </w:rPr>
      </w:r>
      <w:r>
        <w:pict>
          <v:shape id="_x0000_s1085"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txbxContent>
            </v:textbox>
            <w10:anchorlock/>
          </v:shape>
        </w:pict>
      </w:r>
    </w:p>
    <w:p w:rsidR="00D14C2B" w:rsidRDefault="00D14C2B" w:rsidP="00AE68E7">
      <w:pPr>
        <w:jc w:val="center"/>
        <w:rPr>
          <w:i/>
        </w:rPr>
      </w:pPr>
      <w:r w:rsidRPr="00E70E53">
        <w:rPr>
          <w:b/>
        </w:rPr>
        <w:t>Figure 4</w:t>
      </w:r>
      <w:r>
        <w:t xml:space="preserve">: </w:t>
      </w:r>
      <w:r w:rsidRPr="00AE68E7">
        <w:rPr>
          <w:i/>
        </w:rPr>
        <w:t>Preamble field</w:t>
      </w:r>
    </w:p>
    <w:p w:rsidR="00D14C2B" w:rsidRPr="00F54C42" w:rsidRDefault="00D14C2B" w:rsidP="00F54C42">
      <w:pPr>
        <w:jc w:val="both"/>
      </w:pPr>
      <w:r>
        <w:t xml:space="preserve">The FSD immediately precedes the </w:t>
      </w:r>
      <w:r>
        <w:rPr>
          <w:i/>
        </w:rPr>
        <w:t>control and data (</w:t>
      </w:r>
      <w:r w:rsidRPr="00F54C42">
        <w:rPr>
          <w:i/>
        </w:rPr>
        <w:t>CAD</w:t>
      </w:r>
      <w:r>
        <w:rPr>
          <w:i/>
        </w:rPr>
        <w:t>)</w:t>
      </w:r>
      <w:r>
        <w:t xml:space="preserve"> fields to delimit the start of frame. CAD are only accepted if the FSD is verified [</w:t>
      </w:r>
      <w:hyperlink r:id="rId9" w:history="1">
        <w:r w:rsidRPr="00D64902">
          <w:rPr>
            <w:rStyle w:val="Hyperlink"/>
          </w:rPr>
          <w:t>IEC-61158-2 p122</w:t>
        </w:r>
      </w:hyperlink>
      <w:r>
        <w:t>]. The structure of the FSD is shown in Figure 5.</w:t>
      </w:r>
    </w:p>
    <w:p w:rsidR="00D14C2B" w:rsidRDefault="00D14C2B" w:rsidP="00587E9A">
      <w:pPr>
        <w:pStyle w:val="NoSpacing"/>
        <w:jc w:val="center"/>
      </w:pPr>
      <w:r>
        <w:rPr>
          <w:noProof/>
        </w:rPr>
      </w:r>
      <w:r>
        <w:pict>
          <v:shape id="_x0000_s1086"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AE68E7"/>
              </w:txbxContent>
            </v:textbox>
            <w10:anchorlock/>
          </v:shape>
        </w:pict>
      </w:r>
    </w:p>
    <w:p w:rsidR="00D14C2B" w:rsidRDefault="00D14C2B" w:rsidP="00587E9A">
      <w:pPr>
        <w:jc w:val="center"/>
        <w:rPr>
          <w:i/>
        </w:rPr>
      </w:pPr>
      <w:r w:rsidRPr="00587E9A">
        <w:rPr>
          <w:b/>
        </w:rPr>
        <w:t>Figure 5</w:t>
      </w:r>
      <w:r>
        <w:t xml:space="preserve">: </w:t>
      </w:r>
      <w:r w:rsidRPr="00587E9A">
        <w:rPr>
          <w:i/>
        </w:rPr>
        <w:t>Frame start delimiter field</w:t>
      </w:r>
    </w:p>
    <w:p w:rsidR="00D14C2B" w:rsidRDefault="00D14C2B" w:rsidP="00F07A2C">
      <w:pPr>
        <w:pStyle w:val="Heading1"/>
      </w:pPr>
      <w:r>
        <w:t>Frame End Sequence (FES)</w:t>
      </w:r>
    </w:p>
    <w:p w:rsidR="00D14C2B" w:rsidRPr="00214222" w:rsidRDefault="00D14C2B" w:rsidP="00F07A2C">
      <w:pPr>
        <w:jc w:val="both"/>
      </w:pPr>
      <w:r>
        <w:t xml:space="preserve">The </w:t>
      </w:r>
      <w:r>
        <w:rPr>
          <w:i/>
        </w:rPr>
        <w:t xml:space="preserve">Frame End Sequence (FES) </w:t>
      </w:r>
      <w:r>
        <w:t xml:space="preserve">or </w:t>
      </w:r>
      <w:r>
        <w:rPr>
          <w:i/>
        </w:rPr>
        <w:t>Frame End Delimiter (FED)</w:t>
      </w:r>
      <w:r>
        <w:t xml:space="preserve"> immediately follows the FCS field to indicate the end of frame. If a sequence of more than 300 bytes is received without receiving a FED then the frame is reported as too long. Additionally, if a frame is received with the FED </w:t>
      </w:r>
      <w:r w:rsidRPr="00214222">
        <w:t xml:space="preserve">not located at </w:t>
      </w:r>
      <w:r>
        <w:t>byte</w:t>
      </w:r>
      <w:r w:rsidRPr="00214222">
        <w:t xml:space="preserve"> boundary</w:t>
      </w:r>
      <w:r>
        <w:t>, is also reported [</w:t>
      </w:r>
      <w:hyperlink r:id="rId10" w:history="1">
        <w:r w:rsidRPr="00D64902">
          <w:rPr>
            <w:rStyle w:val="Hyperlink"/>
          </w:rPr>
          <w:t>IEC-61158-2 p122</w:t>
        </w:r>
      </w:hyperlink>
      <w:r>
        <w:t>]. The structure of the FED is shown in Figure 6.</w:t>
      </w:r>
    </w:p>
    <w:p w:rsidR="00D14C2B" w:rsidRDefault="00D14C2B" w:rsidP="00F07A2C">
      <w:pPr>
        <w:pStyle w:val="NoSpacing"/>
        <w:jc w:val="center"/>
      </w:pPr>
      <w:r>
        <w:rPr>
          <w:noProof/>
        </w:rPr>
      </w:r>
      <w:r>
        <w:pict>
          <v:shape id="_x0000_s1087"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F07A2C"/>
              </w:txbxContent>
            </v:textbox>
            <w10:anchorlock/>
          </v:shape>
        </w:pict>
      </w:r>
    </w:p>
    <w:p w:rsidR="00D14C2B" w:rsidRPr="00692BAC" w:rsidRDefault="00D14C2B" w:rsidP="00F07A2C">
      <w:pPr>
        <w:pStyle w:val="NoSpacing"/>
        <w:jc w:val="center"/>
        <w:rPr>
          <w:i/>
        </w:rPr>
      </w:pPr>
      <w:r w:rsidRPr="00511666">
        <w:rPr>
          <w:b/>
        </w:rPr>
        <w:t xml:space="preserve">Figure </w:t>
      </w:r>
      <w:r>
        <w:rPr>
          <w:b/>
        </w:rPr>
        <w:t>6</w:t>
      </w:r>
      <w:r>
        <w:t xml:space="preserve">: </w:t>
      </w:r>
      <w:r>
        <w:rPr>
          <w:i/>
        </w:rPr>
        <w:t>Frame end delimiter field</w:t>
      </w:r>
    </w:p>
    <w:p w:rsidR="00D14C2B" w:rsidRDefault="00D14C2B" w:rsidP="00FE0A3D">
      <w:pPr>
        <w:pStyle w:val="Heading1"/>
      </w:pPr>
      <w:r>
        <w:t xml:space="preserve">Control </w:t>
      </w:r>
    </w:p>
    <w:p w:rsidR="00D14C2B" w:rsidRDefault="00D14C2B" w:rsidP="00317B88">
      <w:pPr>
        <w:jc w:val="both"/>
      </w:pPr>
      <w:r>
        <w:t xml:space="preserve">The </w:t>
      </w:r>
      <w:r>
        <w:rPr>
          <w:i/>
        </w:rPr>
        <w:t>C</w:t>
      </w:r>
      <w:r w:rsidRPr="00C74185">
        <w:rPr>
          <w:i/>
        </w:rPr>
        <w:t>ontrol</w:t>
      </w:r>
      <w:r>
        <w:rPr>
          <w:i/>
        </w:rPr>
        <w:t xml:space="preserve"> (CTRL)</w:t>
      </w:r>
      <w:r>
        <w:t xml:space="preserve"> field specifies the type of frame being transmitted. For an ID_DAT frame CTRL=110000XX and for an RP_DAT frame CTRL=010000XX. The ‘X’ indicates that the bit is ignored on reception but should be set to zero on transmission [</w:t>
      </w:r>
      <w:hyperlink r:id="rId11" w:history="1">
        <w:r w:rsidRPr="00D64902">
          <w:rPr>
            <w:rStyle w:val="Hyperlink"/>
          </w:rPr>
          <w:t>IEC-61158-4-7 p33-34</w:t>
        </w:r>
      </w:hyperlink>
      <w:r>
        <w:t>]. The structure of the control field for ID_DAT and RP_DAT is shown in Figure 7 and Figure 8 respectively.</w:t>
      </w:r>
    </w:p>
    <w:p w:rsidR="00D14C2B" w:rsidRDefault="00D14C2B" w:rsidP="00206DB5">
      <w:pPr>
        <w:pStyle w:val="NoSpacing"/>
        <w:jc w:val="center"/>
      </w:pPr>
      <w:r>
        <w:rPr>
          <w:noProof/>
        </w:rPr>
      </w:r>
      <w:r>
        <w:pict>
          <v:shape id="_x0000_s1088"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X</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X</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206DB5"/>
              </w:txbxContent>
            </v:textbox>
            <w10:anchorlock/>
          </v:shape>
        </w:pict>
      </w:r>
    </w:p>
    <w:p w:rsidR="00D14C2B" w:rsidRDefault="00D14C2B" w:rsidP="00657959">
      <w:pPr>
        <w:jc w:val="center"/>
      </w:pPr>
      <w:r w:rsidRPr="00657959">
        <w:rPr>
          <w:b/>
        </w:rPr>
        <w:t xml:space="preserve">Figure </w:t>
      </w:r>
      <w:r>
        <w:rPr>
          <w:b/>
        </w:rPr>
        <w:t>7</w:t>
      </w:r>
      <w:r>
        <w:t xml:space="preserve">: </w:t>
      </w:r>
      <w:r w:rsidRPr="00657959">
        <w:rPr>
          <w:i/>
        </w:rPr>
        <w:t>ID_DAT control field</w:t>
      </w:r>
    </w:p>
    <w:p w:rsidR="00D14C2B" w:rsidRDefault="00D14C2B" w:rsidP="00657959">
      <w:pPr>
        <w:pStyle w:val="NoSpacing"/>
        <w:jc w:val="center"/>
      </w:pPr>
      <w:r>
        <w:rPr>
          <w:noProof/>
        </w:rPr>
      </w:r>
      <w:r>
        <w:pict>
          <v:shape id="_x0000_s1089"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X</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X</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405F40"/>
              </w:txbxContent>
            </v:textbox>
            <w10:anchorlock/>
          </v:shape>
        </w:pict>
      </w:r>
    </w:p>
    <w:p w:rsidR="00D14C2B" w:rsidRDefault="00D14C2B" w:rsidP="00657959">
      <w:pPr>
        <w:pStyle w:val="NoSpacing"/>
        <w:jc w:val="center"/>
      </w:pPr>
      <w:r w:rsidRPr="00657959">
        <w:rPr>
          <w:b/>
        </w:rPr>
        <w:t xml:space="preserve">Figure </w:t>
      </w:r>
      <w:r>
        <w:rPr>
          <w:b/>
        </w:rPr>
        <w:t>8</w:t>
      </w:r>
      <w:r>
        <w:t xml:space="preserve">: </w:t>
      </w:r>
      <w:r w:rsidRPr="00657959">
        <w:rPr>
          <w:i/>
        </w:rPr>
        <w:t>RP_DAT control field</w:t>
      </w:r>
    </w:p>
    <w:p w:rsidR="00D14C2B" w:rsidRDefault="00D14C2B" w:rsidP="00405F40">
      <w:pPr>
        <w:pStyle w:val="Heading1"/>
      </w:pPr>
      <w:r>
        <w:t>Frame Check Sequence (FCS)</w:t>
      </w:r>
    </w:p>
    <w:p w:rsidR="00D14C2B" w:rsidRDefault="00D14C2B" w:rsidP="00405F40">
      <w:pPr>
        <w:jc w:val="both"/>
      </w:pPr>
      <w:r>
        <w:t xml:space="preserve">Error detection is provided by calculating and appending a </w:t>
      </w:r>
      <w:r>
        <w:rPr>
          <w:i/>
        </w:rPr>
        <w:t>Frame Check Sequence (FCS)</w:t>
      </w:r>
      <w:r>
        <w:t xml:space="preserve"> after the Data/Identifier field. The FCS is evaluated on the Control and Data/Identifier fields using a </w:t>
      </w:r>
      <w:r>
        <w:rPr>
          <w:i/>
        </w:rPr>
        <w:t>Cyclic Redundancy Check (CRC)</w:t>
      </w:r>
      <w:r>
        <w:t xml:space="preserve"> function [</w:t>
      </w:r>
      <w:hyperlink r:id="rId12" w:history="1">
        <w:r w:rsidRPr="00D64902">
          <w:rPr>
            <w:rStyle w:val="Hyperlink"/>
          </w:rPr>
          <w:t>IEC-61158-4-7 p34-36</w:t>
        </w:r>
      </w:hyperlink>
      <w:r>
        <w:t>]. An example of a CRC generator and syndrome check implementation is shown in [</w:t>
      </w:r>
      <w:hyperlink r:id="rId13" w:history="1">
        <w:r w:rsidRPr="00D64902">
          <w:rPr>
            <w:rStyle w:val="Hyperlink"/>
          </w:rPr>
          <w:t>IEC-61158-4-7 p97</w:t>
        </w:r>
      </w:hyperlink>
      <w:r>
        <w:t xml:space="preserve">]. The redundancy bits are evaluated by shifting the data bit by bit into the CRC generator (Data Select). When all the data enter the generator, the contents of the flip-flops contain the 16bit FCS which is obtained by shifting out the contents of the flip-flops (FCS Select). Similarly at the syndrome check, the received data are shifted in the validation block bit by bit. When all the data enter the verification block and if no error occurred during transmission, the contents of the flip-flops should be equal to: </w:t>
      </w:r>
      <w:r w:rsidRPr="005F6981">
        <w:rPr>
          <w:rFonts w:cs="Arial"/>
        </w:rPr>
        <w:t>1110 0011 1001 0100 (X15 to X0, respectively)</w:t>
      </w:r>
      <w:r>
        <w:t>. It should be noted that the contents of the flip-flops in both the generator and verification blocks are initialised to all logical ‘1’s before any data are shifted in the registers.</w:t>
      </w:r>
    </w:p>
    <w:p w:rsidR="00D14C2B" w:rsidRDefault="00D14C2B" w:rsidP="00405F40">
      <w:pPr>
        <w:pStyle w:val="Heading1"/>
      </w:pPr>
      <w:r>
        <w:t>Data/Identifier</w:t>
      </w:r>
    </w:p>
    <w:p w:rsidR="00D14C2B" w:rsidRDefault="00D14C2B" w:rsidP="00405F40">
      <w:pPr>
        <w:jc w:val="both"/>
      </w:pPr>
      <w:r>
        <w:t xml:space="preserve">The </w:t>
      </w:r>
      <w:r>
        <w:rPr>
          <w:i/>
        </w:rPr>
        <w:t>Identifier</w:t>
      </w:r>
      <w:r>
        <w:t xml:space="preserve"> field’s contents are as specified in the NanoFIP specification document [</w:t>
      </w:r>
      <w:hyperlink r:id="rId14" w:history="1">
        <w:r w:rsidRPr="00D64902">
          <w:rPr>
            <w:rStyle w:val="Hyperlink"/>
          </w:rPr>
          <w:t>NanoFIP Functional Specification p8-11</w:t>
        </w:r>
      </w:hyperlink>
      <w:r>
        <w:t xml:space="preserve">] and the </w:t>
      </w:r>
      <w:r>
        <w:rPr>
          <w:i/>
        </w:rPr>
        <w:t>Data</w:t>
      </w:r>
      <w:r>
        <w:t xml:space="preserve"> field contains the data requested by the identifier in the ID_DAT frame.</w:t>
      </w:r>
    </w:p>
    <w:p w:rsidR="00D14C2B" w:rsidRDefault="00D14C2B" w:rsidP="00405F40">
      <w:pPr>
        <w:pStyle w:val="Heading1"/>
      </w:pPr>
      <w:r>
        <w:t>Timing</w:t>
      </w:r>
    </w:p>
    <w:p w:rsidR="00D14C2B" w:rsidRDefault="00D14C2B" w:rsidP="00405F40">
      <w:pPr>
        <w:jc w:val="both"/>
      </w:pPr>
      <w:r>
        <w:rPr>
          <w:i/>
        </w:rPr>
        <w:t>Silence Time</w:t>
      </w:r>
      <w:r>
        <w:t xml:space="preserve"> is defined as the maximum time allowed without any activity after an ID_DAT has been received. The timer is initiated when an indication of absence of activity is received (SILENCE signal is asserted). It is terminated when an indication of activity is received due to the reception or transmission of the first frame symbol (BUSY signal is asserted). In the case of a consuming station the timer is named T4. Expiration of this timer causes the station to enter a status of waiting for the next ID_DAT frame (i.e. the current RP_DAT is considered lost and hence ignored) [</w:t>
      </w:r>
      <w:hyperlink r:id="rId15" w:history="1">
        <w:r w:rsidRPr="00D64902">
          <w:rPr>
            <w:rStyle w:val="Hyperlink"/>
          </w:rPr>
          <w:t>IEC-61158-4-7 p39-43</w:t>
        </w:r>
      </w:hyperlink>
      <w:r>
        <w:t xml:space="preserve">]. </w:t>
      </w:r>
    </w:p>
    <w:p w:rsidR="00D14C2B" w:rsidRDefault="00D14C2B" w:rsidP="00405F40">
      <w:pPr>
        <w:jc w:val="both"/>
      </w:pPr>
      <w:r>
        <w:t xml:space="preserve">The reception or emission of the last frame symbol is signalled by a SILENCE indication. Likewise, the reception or emission of the first frame symbol is signalled by a BUSY indication. The time elapsed between these two signals within a single station defines the station’s </w:t>
      </w:r>
      <w:r>
        <w:rPr>
          <w:i/>
        </w:rPr>
        <w:t>Turnaround T</w:t>
      </w:r>
      <w:r w:rsidRPr="00287931">
        <w:rPr>
          <w:i/>
        </w:rPr>
        <w:t>ime</w:t>
      </w:r>
      <w:r>
        <w:t>, whether the station's function be that of a producer/consumer or bus arbitrator. The minimum turnaround time (response time) and the silence time at each data rate are specified in the NanoFIP specification document [</w:t>
      </w:r>
      <w:hyperlink r:id="rId16" w:history="1">
        <w:r w:rsidRPr="00D64902">
          <w:rPr>
            <w:rStyle w:val="Hyperlink"/>
          </w:rPr>
          <w:t>NanoFIP Functional Specification p7</w:t>
        </w:r>
      </w:hyperlink>
      <w:r>
        <w:t>].</w:t>
      </w:r>
    </w:p>
    <w:p w:rsidR="00D14C2B" w:rsidRPr="003F0A5E" w:rsidRDefault="00D14C2B" w:rsidP="003F0A5E"/>
    <w:p w:rsidR="00D14C2B" w:rsidRPr="00183081" w:rsidRDefault="00D14C2B" w:rsidP="00183081"/>
    <w:sectPr w:rsidR="00D14C2B" w:rsidRPr="00183081" w:rsidSect="009110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C2B" w:rsidRDefault="00D14C2B" w:rsidP="0023545A">
      <w:pPr>
        <w:spacing w:after="0" w:line="240" w:lineRule="auto"/>
      </w:pPr>
      <w:r>
        <w:separator/>
      </w:r>
    </w:p>
  </w:endnote>
  <w:endnote w:type="continuationSeparator" w:id="0">
    <w:p w:rsidR="00D14C2B" w:rsidRDefault="00D14C2B" w:rsidP="002354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C2B" w:rsidRDefault="00D14C2B" w:rsidP="0023545A">
      <w:pPr>
        <w:spacing w:after="0" w:line="240" w:lineRule="auto"/>
      </w:pPr>
      <w:r>
        <w:separator/>
      </w:r>
    </w:p>
  </w:footnote>
  <w:footnote w:type="continuationSeparator" w:id="0">
    <w:p w:rsidR="00D14C2B" w:rsidRDefault="00D14C2B" w:rsidP="0023545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530C"/>
    <w:rsid w:val="00024E77"/>
    <w:rsid w:val="000966FF"/>
    <w:rsid w:val="000F6E36"/>
    <w:rsid w:val="00116089"/>
    <w:rsid w:val="0012737C"/>
    <w:rsid w:val="00137607"/>
    <w:rsid w:val="00157A63"/>
    <w:rsid w:val="00183081"/>
    <w:rsid w:val="001C41EE"/>
    <w:rsid w:val="001D0A51"/>
    <w:rsid w:val="001E231F"/>
    <w:rsid w:val="001F3395"/>
    <w:rsid w:val="00206DB5"/>
    <w:rsid w:val="0021020F"/>
    <w:rsid w:val="00214222"/>
    <w:rsid w:val="0023545A"/>
    <w:rsid w:val="00275B14"/>
    <w:rsid w:val="00287931"/>
    <w:rsid w:val="00301E36"/>
    <w:rsid w:val="0031277A"/>
    <w:rsid w:val="00317B88"/>
    <w:rsid w:val="003347B5"/>
    <w:rsid w:val="003420A2"/>
    <w:rsid w:val="00370F6C"/>
    <w:rsid w:val="003B25D6"/>
    <w:rsid w:val="003D08EA"/>
    <w:rsid w:val="003D17F5"/>
    <w:rsid w:val="003D37AD"/>
    <w:rsid w:val="003F0A5E"/>
    <w:rsid w:val="00405F40"/>
    <w:rsid w:val="004144A7"/>
    <w:rsid w:val="00420AB3"/>
    <w:rsid w:val="00442E30"/>
    <w:rsid w:val="00446DBF"/>
    <w:rsid w:val="004616B6"/>
    <w:rsid w:val="00464FBF"/>
    <w:rsid w:val="004C256C"/>
    <w:rsid w:val="004E1605"/>
    <w:rsid w:val="004E4D0B"/>
    <w:rsid w:val="00511666"/>
    <w:rsid w:val="00587E9A"/>
    <w:rsid w:val="005E2329"/>
    <w:rsid w:val="005F6981"/>
    <w:rsid w:val="00657959"/>
    <w:rsid w:val="00692BAC"/>
    <w:rsid w:val="006D2D7C"/>
    <w:rsid w:val="007064A4"/>
    <w:rsid w:val="00716A0A"/>
    <w:rsid w:val="00771CC4"/>
    <w:rsid w:val="007F3D34"/>
    <w:rsid w:val="00851E74"/>
    <w:rsid w:val="008B1226"/>
    <w:rsid w:val="008D5BE6"/>
    <w:rsid w:val="008E7198"/>
    <w:rsid w:val="008F0DEC"/>
    <w:rsid w:val="009110E3"/>
    <w:rsid w:val="0092357E"/>
    <w:rsid w:val="0092748B"/>
    <w:rsid w:val="00936B5D"/>
    <w:rsid w:val="00971127"/>
    <w:rsid w:val="009B395B"/>
    <w:rsid w:val="00A02241"/>
    <w:rsid w:val="00A141C4"/>
    <w:rsid w:val="00A339F3"/>
    <w:rsid w:val="00AE68E7"/>
    <w:rsid w:val="00B33417"/>
    <w:rsid w:val="00BD4EA8"/>
    <w:rsid w:val="00BE1977"/>
    <w:rsid w:val="00BF4A40"/>
    <w:rsid w:val="00C42CC4"/>
    <w:rsid w:val="00C74185"/>
    <w:rsid w:val="00CA51A6"/>
    <w:rsid w:val="00CD74CA"/>
    <w:rsid w:val="00D112BE"/>
    <w:rsid w:val="00D14C2B"/>
    <w:rsid w:val="00D5530C"/>
    <w:rsid w:val="00D612CB"/>
    <w:rsid w:val="00D64902"/>
    <w:rsid w:val="00E12D4A"/>
    <w:rsid w:val="00E27032"/>
    <w:rsid w:val="00E70E53"/>
    <w:rsid w:val="00E76F9A"/>
    <w:rsid w:val="00EA09DF"/>
    <w:rsid w:val="00EA57E7"/>
    <w:rsid w:val="00EC0176"/>
    <w:rsid w:val="00EC36DF"/>
    <w:rsid w:val="00ED799E"/>
    <w:rsid w:val="00EF7834"/>
    <w:rsid w:val="00F07A2C"/>
    <w:rsid w:val="00F54C42"/>
    <w:rsid w:val="00F826C2"/>
    <w:rsid w:val="00FD5D94"/>
    <w:rsid w:val="00FE0A3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E3"/>
    <w:pPr>
      <w:spacing w:after="200" w:line="276" w:lineRule="auto"/>
    </w:pPr>
    <w:rPr>
      <w:lang w:val="en-GB"/>
    </w:rPr>
  </w:style>
  <w:style w:type="paragraph" w:styleId="Heading1">
    <w:name w:val="heading 1"/>
    <w:basedOn w:val="Normal"/>
    <w:next w:val="Normal"/>
    <w:link w:val="Heading1Char"/>
    <w:uiPriority w:val="99"/>
    <w:qFormat/>
    <w:rsid w:val="00D5530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8308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5530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183081"/>
    <w:rPr>
      <w:rFonts w:ascii="Cambria" w:hAnsi="Cambria" w:cs="Times New Roman"/>
      <w:b/>
      <w:bCs/>
      <w:color w:val="4F81BD"/>
      <w:sz w:val="26"/>
      <w:szCs w:val="26"/>
    </w:rPr>
  </w:style>
  <w:style w:type="paragraph" w:styleId="Title">
    <w:name w:val="Title"/>
    <w:basedOn w:val="Normal"/>
    <w:next w:val="Normal"/>
    <w:link w:val="TitleChar"/>
    <w:uiPriority w:val="99"/>
    <w:qFormat/>
    <w:rsid w:val="00D553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D5530C"/>
    <w:rPr>
      <w:rFonts w:ascii="Cambria" w:hAnsi="Cambria" w:cs="Times New Roman"/>
      <w:color w:val="17365D"/>
      <w:spacing w:val="5"/>
      <w:kern w:val="28"/>
      <w:sz w:val="52"/>
      <w:szCs w:val="52"/>
    </w:rPr>
  </w:style>
  <w:style w:type="paragraph" w:styleId="NoSpacing">
    <w:name w:val="No Spacing"/>
    <w:uiPriority w:val="99"/>
    <w:qFormat/>
    <w:rsid w:val="00E76F9A"/>
  </w:style>
  <w:style w:type="table" w:styleId="TableGrid">
    <w:name w:val="Table Grid"/>
    <w:basedOn w:val="TableNormal"/>
    <w:uiPriority w:val="99"/>
    <w:rsid w:val="0021020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D64902"/>
    <w:rPr>
      <w:rFonts w:cs="Times New Roman"/>
      <w:color w:val="0000FF"/>
      <w:u w:val="single"/>
    </w:rPr>
  </w:style>
  <w:style w:type="paragraph" w:styleId="Header">
    <w:name w:val="header"/>
    <w:basedOn w:val="Normal"/>
    <w:link w:val="HeaderChar"/>
    <w:uiPriority w:val="99"/>
    <w:semiHidden/>
    <w:rsid w:val="002354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3545A"/>
    <w:rPr>
      <w:rFonts w:cs="Times New Roman"/>
      <w:lang w:val="en-GB"/>
    </w:rPr>
  </w:style>
  <w:style w:type="paragraph" w:styleId="Footer">
    <w:name w:val="footer"/>
    <w:basedOn w:val="Normal"/>
    <w:link w:val="FooterChar"/>
    <w:uiPriority w:val="99"/>
    <w:semiHidden/>
    <w:rsid w:val="002354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3545A"/>
    <w:rPr>
      <w:rFonts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sweb.cern.ch/record/1169405/files/iec61158-2%7Bed4.0%7Den.pdf" TargetMode="External"/><Relationship Id="rId13" Type="http://schemas.openxmlformats.org/officeDocument/2006/relationships/hyperlink" Target="http://cdsweb.cern.ch/record/1169408/files/iec61158-4-7%7Bed1.0%7Den.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dsweb.cern.ch/record/1169408/files/iec61158-4-7%7Bed1.0%7Den.pdf" TargetMode="External"/><Relationship Id="rId12" Type="http://schemas.openxmlformats.org/officeDocument/2006/relationships/hyperlink" Target="http://cdsweb.cern.ch/record/1169408/files/iec61158-4-7%7Bed1.0%7Den.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ohwr.org/twiki/pub/OHR/CernFIP/WP3/cernfip_fspec1_2.pdf" TargetMode="External"/><Relationship Id="rId1" Type="http://schemas.openxmlformats.org/officeDocument/2006/relationships/styles" Target="styles.xml"/><Relationship Id="rId6" Type="http://schemas.openxmlformats.org/officeDocument/2006/relationships/hyperlink" Target="http://cdsweb.cern.ch/record/1169408/files/iec61158-4-7%7Bed1.0%7Den.pdf" TargetMode="External"/><Relationship Id="rId11" Type="http://schemas.openxmlformats.org/officeDocument/2006/relationships/hyperlink" Target="http://cdsweb.cern.ch/record/1169408/files/iec61158-4-7%7Bed1.0%7Den.pdf" TargetMode="External"/><Relationship Id="rId5" Type="http://schemas.openxmlformats.org/officeDocument/2006/relationships/endnotes" Target="endnotes.xml"/><Relationship Id="rId15" Type="http://schemas.openxmlformats.org/officeDocument/2006/relationships/hyperlink" Target="http://cdsweb.cern.ch/record/1169408/files/iec61158-4-7%7Bed1.0%7Den.pdf" TargetMode="External"/><Relationship Id="rId10" Type="http://schemas.openxmlformats.org/officeDocument/2006/relationships/hyperlink" Target="http://cdsweb.cern.ch/record/1169405/files/iec61158-2%7Bed4.0%7Den.pdf" TargetMode="External"/><Relationship Id="rId4" Type="http://schemas.openxmlformats.org/officeDocument/2006/relationships/footnotes" Target="footnotes.xml"/><Relationship Id="rId9" Type="http://schemas.openxmlformats.org/officeDocument/2006/relationships/hyperlink" Target="http://cdsweb.cern.ch/record/1169405/files/iec61158-2%7Bed4.0%7Den.pdf" TargetMode="External"/><Relationship Id="rId14" Type="http://schemas.openxmlformats.org/officeDocument/2006/relationships/hyperlink" Target="http://www.ohwr.org/twiki/pub/OHR/CernFIP/WP3/cernfip_fspec1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1093</Words>
  <Characters>6234</Characters>
  <Application>Microsoft Office Outlook</Application>
  <DocSecurity>0</DocSecurity>
  <Lines>0</Lines>
  <Paragraphs>0</Paragraphs>
  <ScaleCrop>false</ScaleCrop>
  <Company>CERN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NanoFIP Frame Structure</dc:title>
  <dc:subject/>
  <dc:creator>Panayiotis Georgiou</dc:creator>
  <cp:keywords/>
  <dc:description/>
  <cp:lastModifiedBy>palvarez</cp:lastModifiedBy>
  <cp:revision>2</cp:revision>
  <cp:lastPrinted>2009-08-04T17:36:00Z</cp:lastPrinted>
  <dcterms:created xsi:type="dcterms:W3CDTF">2009-09-17T08:50:00Z</dcterms:created>
  <dcterms:modified xsi:type="dcterms:W3CDTF">2009-09-17T08:50:00Z</dcterms:modified>
</cp:coreProperties>
</file>