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 w:cs="Noto Sans CJK SC"/>
          <w:i w:val="0"/>
          <w:color w:val="000000"/>
          <w:sz w:val="42"/>
          <w:szCs w:val="42"/>
          <w:b w:val="1"/>
          <w:bCs w:val="1"/>
          <w:lang w:val="en-US" w:eastAsia="zh-CN"/>
        </w:rPr>
        <w:t>BlueArchive 小队搜打撤系统需求文档</w:t>
      </w:r>
    </w:p>
    <w:p>
      <w:pPr>
        <w:pStyle w:val="Subtitle"/>
      </w:pPr>
      <w:r>
        <w:rPr>
          <w:rFonts w:ascii="Noto Sans CJK SC" w:hAnsi="Noto Sans CJK SC" w:eastAsia="Noto Sans CJK SC" w:cs="Noto Sans CJK SC"/>
          <w:i w:val="0"/>
          <w:color w:val="000000"/>
          <w:sz w:val="19"/>
          <w:szCs w:val="19"/>
          <w:b w:val="0"/>
          <w:bCs w:val="0"/>
          <w:lang w:val="en-US" w:eastAsia="zh-CN"/>
        </w:rPr>
        <w:t>版本 v0.3　2026年10月28日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本文件将小队搜打撤的长期玩法转换为可实施和验收的要求。长期仍覆盖战斗、搜刮、救援、撤离、基地和成长。当前交付为四名前排加两名Special支援的战斗与简单撤离Demo：前排为普通爱丽丝、小绿、小桃、柚子，默认自动战斗，玩家指令覆盖；敌人为静态Health目标，尚无敌方AI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当前角色美术采用《碧蓝档案》素材。新增 AI 拟人角色以 B 站相关设定为优先视觉方向，具体作者与版本尚待逐项选定；按厂商、系列和具体型号分别登记，同一家可以有多名独立角色。第17章分别记录设定来源、三维资源证据和形象匹配状态，并规定适配与自建要求。现成模型的存在不等于符合目标形象或已通过战斗动作测试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本文件区分当前Demo、后续M0战术灰盒、P0可反复游玩闭环与P1内容扩展，保留FR/NFR/AT长期编号。本次范围、输入与验收以当前Demo段落为准。2026年10月28日新增核对游戏开发部10个资源形态的动画切换，当前Demo可选仍为4前排加2支援；具体修复和验证边界见第8章。此前已运行验证编队换位、六人入场、女仆炮击、临战绑定后一次EX与撤离胜利；四名前排Vital_Death姿势及DEFEAT、支援技能后外层root在场外隐藏均已实测正确。临战支持第二、第三次效果尚未验证，直升机救援仍未证实；完整原版UI、COST牌库、搜打撤经济闭环仍未交付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i w:val="0"/>
          <w:color w:val="000000"/>
          <w:sz w:val="30"/>
          <w:szCs w:val="30"/>
          <w:b w:val="1"/>
          <w:bCs w:val="1"/>
          <w:lang w:val="en-US" w:eastAsia="zh-CN"/>
        </w:rPr>
        <w:t>1 范围与统一约定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 1 交付范围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当前Demo包含4+2编队、原V2六人入场、四名前排自动战斗与指令覆盖、两名Special技能、战术暂停、基础生命、3秒简单撤离和胜败结果。后续M0增加掩体、完整战术编队和敌方AI；P0加入配装、搜刮、救援、完整撤离资格与经济结算、基地和可靠存档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首轮实现面向离线 PC 键鼠。维持现有 Unity 工程的实际版本、URP 和输入方案，在开始开发时记录编辑器补丁版与包锁定文件。升级引擎、移动平台、微信小游戏和联机均需单独评估，不作为四人指挥原型的前置条件。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 2 术语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100" w:type="dxa"/>
          <w:right w:w="100" w:type="dxa"/>
        </w:tblCellMar>
      </w:tblPr>
      <w:tblGrid>
        <w:gridCol w:w="1814"/>
        <w:gridCol w:w="7824"/>
      </w:tblGrid>
      <w:tr>
        <w:trPr>
          <w:cantSplit/>
          <w:tblHeader/>
        </w:trPr>
        <w:tc>
          <w:tcPr>
            <w:tcW w:type="dxa" w:w="1814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术语</w:t>
            </w:r>
          </w:p>
        </w:tc>
        <w:tc>
          <w:tcPr>
            <w:tcW w:type="dxa" w:w="7824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定义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主战</w:t>
            </w:r>
          </w:p>
        </w:tc>
        <w:tc>
          <w:tcPr>
            <w:tcW w:type="dxa" w:w="7824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四名前排可指挥实体：普通爱丽丝、小绿、小桃、柚子；第一前排槽为队长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支援</w:t>
            </w:r>
          </w:p>
        </w:tc>
        <w:tc>
          <w:tcPr>
            <w:tcW w:type="dxa" w:w="7824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女仆柚子CH0203与临战柚子CH0336；参与入场和技能，不进入地面导航、生命或撤离统计，无原普攻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指挥等级</w:t>
            </w:r>
          </w:p>
        </w:tc>
        <w:tc>
          <w:tcPr>
            <w:tcW w:type="dxa" w:w="7824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账号级的小队成长等级，换阵容不清零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命令</w:t>
            </w:r>
          </w:p>
        </w:tc>
        <w:tc>
          <w:tcPr>
            <w:tcW w:type="dxa" w:w="7824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玩家的覆盖意图；完成或失效后返回默认自动状态，后续扩展搜索等类型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执行动作</w:t>
            </w:r>
          </w:p>
        </w:tc>
        <w:tc>
          <w:tcPr>
            <w:tcW w:type="dxa" w:w="7824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角色实现命令时的具体行为，例如换弹、探身、寻路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开火规则</w:t>
            </w:r>
          </w:p>
        </w:tc>
        <w:tc>
          <w:tcPr>
            <w:tcW w:type="dxa" w:w="7824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正常或静默，叠加于命令而不替换命令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物品定义</w:t>
            </w:r>
          </w:p>
        </w:tc>
        <w:tc>
          <w:tcPr>
            <w:tcW w:type="dxa" w:w="7824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可共享的只读配置，例如某类武器参数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物品实例</w:t>
            </w:r>
          </w:p>
        </w:tc>
        <w:tc>
          <w:tcPr>
            <w:tcW w:type="dxa" w:w="7824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有唯一身份、数量和位置的实际装备或物资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行动编号</w:t>
            </w:r>
          </w:p>
        </w:tc>
        <w:tc>
          <w:tcPr>
            <w:tcW w:type="dxa" w:w="7824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一次出击的稳定 RaidId，用于恢复与去重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最终撤离</w:t>
            </w:r>
          </w:p>
        </w:tc>
        <w:tc>
          <w:tcPr>
            <w:tcW w:type="dxa" w:w="7824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一次提交结束整局，仅结算符合条件的队员和物资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型号角色</w:t>
            </w:r>
          </w:p>
        </w:tc>
        <w:tc>
          <w:tcPr>
            <w:tcW w:type="dxa" w:w="7824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以一个具体 AI 型号为身份的独立可培养角色</w:t>
            </w:r>
          </w:p>
        </w:tc>
      </w:tr>
    </w:tbl>
    <w:p>
      <w:pPr>
        <w:spacing w:before="0" w:after="40" w:line="40" w:lineRule="exact"/>
      </w:pPr>
      <w:r>
        <w:rPr>
          <w:rFonts w:ascii="Noto Sans CJK SC" w:hAnsi="Noto Sans CJK SC" w:eastAsia="Noto Sans CJK SC" w:cs="Noto Sans CJK SC"/>
          <w:i w:val="0"/>
          <w:color w:val="000000"/>
          <w:sz w:val="4"/>
          <w:szCs w:val="4"/>
          <w:b w:val="0"/>
          <w:bCs w:val="0"/>
          <w:lang w:val="en-US" w:eastAsia="zh-CN"/>
        </w:rPr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 3 不可破坏的业务约束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每件物品只有一个当前位置；同一次行动只结算一次；默认自动战斗服从玩家覆盖指令；不可见目标不能通过内部对象坐标被持续追踪；局内倒计时使用同一模拟时钟；配置、局内状态与永久存档分离。本次不实现物品和结算，但必须先保证单一战斗时序与生命写入口，避免后续叠加系统时重复触发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进入结算后，所有延迟路径结果、弹丸回调、技能计划与交互完成回调都必须验证行动编号和生命周期。已结束行动不得重新生成物品、伤害或奖励。</w:t>
      </w:r>
    </w:p>
    <w:p>
      <w:pPr>
        <w:pStyle w:val="Heading2"/>
      </w:pPr>
      <w:r>
        <w:t>1 4 本次 Demo 范围</w:t>
      </w:r>
    </w:p>
    <w:p>
      <w:pPr/>
      <w:r>
        <w:t>当前四名前排固定普通爱丽丝、小绿、小桃、柚子；两名Special为花冈柚子（女仆）CH0203和花冈柚子（临战）CH0336。支援参与六人入场与独立技能，不作为前排生命、导航或撤离对象。敌方仅独立Health及必要碰撞，没有巡逻、索敌、攻击或反击。Player_GameDev.unity是本次游戏场景，Chen保留其他用途。</w:t>
      </w:r>
    </w:p>
    <w:p>
      <w:pPr/>
      <w:r>
        <w:t>角色默认自动索敌、接敌、普攻和换弹；玩家移动、指定攻击、攻击移动、停驻与手动 EX 按状态覆盖自动行为。X 显式恢复自动；移动完成或目标失效按单位状态回退，停驻保持至新命令。这里的“原版”指沿用现有角色与表现资源，不承诺数值原封不动或复刻完整原作 AI。</w:t>
      </w:r>
    </w:p>
    <w:p>
      <w:pPr/>
      <w:r>
        <w:t>当前不交付搜刮、背包、装备经济、救援、基地、永久存档或完整掩体。两名Special已有实际技能；完整撤离名单、伤员携带、物资带出与结算仍为后续要求。出击前编队已使用3D站立角色、原提起与放下动画及提起语音；uGUI支持选槽和同组换位，前排另支持3D拖拽，仅允许前排组内或支援组内交换。当前并非完整原版编队功能。编队曝光单独设为-0.3 EV，只在编队生效；出击前播放原版屏幕过渡，避免切换穿帮，战场不套用该曝光。出击后播放原V2的4+2入场，时长2.9667秒；胜利演员演出仅四名前排使用原片段，时长8秒。</w:t>
      </w:r>
    </w:p>
    <w:p>
      <w:pPr/>
      <w:r>
        <w:t>当前 Demo 的绿色撤离圈中心为世界坐标 (0, 0, 13)，半径 3 米。所有存活前排都进入圈内，并完成原版刹车动作停稳后，连续保持 3 秒即撤离成功。任何存活前排出圈或再次移动，进度立即清零；暂停或 EX 过场期间不推进撤离计时。不要求清除敌人，清敌本身不触发胜利。</w:t>
      </w:r>
    </w:p>
    <w:p>
      <w:pPr/>
      <w:r>
        <w:t>撤离成功后先在战场播放VICTORY标题约1.333秒（按源曲线末键），随后同时显示Complete结果层并播放8秒四名前排胜利演出；演出结束后结果层继续保持。没有虚构EXP奖励、战利品结算或经济系统。全体前排失能时先原地播放Vital_Death，再显示DEFEAT；静态敌人没有AI，平时不会反击。已实测四名前排的Vital_Death姿势及DEFEAT显示正确；Support root外层节点隐藏已实测，技能后位于场外且无警告。直升机救援仍未获证实。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i w:val="0"/>
          <w:color w:val="000000"/>
          <w:sz w:val="30"/>
          <w:szCs w:val="30"/>
          <w:b w:val="1"/>
          <w:bCs w:val="1"/>
          <w:lang w:val="en-US" w:eastAsia="zh-CN"/>
        </w:rPr>
        <w:t>2 系统模块与职责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100" w:type="dxa"/>
          <w:right w:w="100" w:type="dxa"/>
        </w:tblCellMar>
      </w:tblPr>
      <w:tblGrid>
        <w:gridCol w:w="765"/>
        <w:gridCol w:w="2948"/>
        <w:gridCol w:w="5924"/>
      </w:tblGrid>
      <w:tr>
        <w:trPr>
          <w:cantSplit/>
          <w:tblHeader/>
        </w:trPr>
        <w:tc>
          <w:tcPr>
            <w:tcW w:type="dxa" w:w="765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编号</w:t>
            </w:r>
          </w:p>
        </w:tc>
        <w:tc>
          <w:tcPr>
            <w:tcW w:type="dxa" w:w="2948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模块</w:t>
            </w:r>
          </w:p>
        </w:tc>
        <w:tc>
          <w:tcPr>
            <w:tcW w:type="dxa" w:w="5924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唯一负责的状态或输出</w:t>
            </w:r>
          </w:p>
        </w:tc>
      </w:tr>
      <w:tr>
        <w:trPr>
          <w:cantSplit/>
        </w:trPr>
        <w:tc>
          <w:tcPr>
            <w:tcW w:type="dxa" w:w="76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S01</w:t>
            </w:r>
          </w:p>
        </w:tc>
        <w:tc>
          <w:tcPr>
            <w:tcW w:type="dxa" w:w="2948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启动与配置</w:t>
            </w:r>
          </w:p>
        </w:tc>
        <w:tc>
          <w:tcPr>
            <w:tcW w:type="dxa" w:w="5924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工程入口、配置校验、场景装配</w:t>
            </w:r>
          </w:p>
        </w:tc>
      </w:tr>
      <w:tr>
        <w:trPr>
          <w:cantSplit/>
        </w:trPr>
        <w:tc>
          <w:tcPr>
            <w:tcW w:type="dxa" w:w="76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S02</w:t>
            </w:r>
          </w:p>
        </w:tc>
        <w:tc>
          <w:tcPr>
            <w:tcW w:type="dxa" w:w="2948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行动会话</w:t>
            </w:r>
          </w:p>
        </w:tc>
        <w:tc>
          <w:tcPr>
            <w:tcW w:type="dxa" w:w="5924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行动阶段、模拟时钟与终局仲裁</w:t>
            </w:r>
          </w:p>
        </w:tc>
      </w:tr>
      <w:tr>
        <w:trPr>
          <w:cantSplit/>
        </w:trPr>
        <w:tc>
          <w:tcPr>
            <w:tcW w:type="dxa" w:w="76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S03</w:t>
            </w:r>
          </w:p>
        </w:tc>
        <w:tc>
          <w:tcPr>
            <w:tcW w:type="dxa" w:w="2948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角色名册与编成</w:t>
            </w:r>
          </w:p>
        </w:tc>
        <w:tc>
          <w:tcPr>
            <w:tcW w:type="dxa" w:w="5924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角色实例、四加二槽位、配装合法性</w:t>
            </w:r>
          </w:p>
        </w:tc>
      </w:tr>
      <w:tr>
        <w:trPr>
          <w:cantSplit/>
        </w:trPr>
        <w:tc>
          <w:tcPr>
            <w:tcW w:type="dxa" w:w="76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S04</w:t>
            </w:r>
          </w:p>
        </w:tc>
        <w:tc>
          <w:tcPr>
            <w:tcW w:type="dxa" w:w="2948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输入与镜头</w:t>
            </w:r>
          </w:p>
        </w:tc>
        <w:tc>
          <w:tcPr>
            <w:tcW w:type="dxa" w:w="5924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选择集合、指令预览、输入上下文</w:t>
            </w:r>
          </w:p>
        </w:tc>
      </w:tr>
      <w:tr>
        <w:trPr>
          <w:cantSplit/>
        </w:trPr>
        <w:tc>
          <w:tcPr>
            <w:tcW w:type="dxa" w:w="76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S05</w:t>
            </w:r>
          </w:p>
        </w:tc>
        <w:tc>
          <w:tcPr>
            <w:tcW w:type="dxa" w:w="2948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指挥与单位执行</w:t>
            </w:r>
          </w:p>
        </w:tc>
        <w:tc>
          <w:tcPr>
            <w:tcW w:type="dxa" w:w="5924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命令队列、取消、失败反馈</w:t>
            </w:r>
          </w:p>
        </w:tc>
      </w:tr>
      <w:tr>
        <w:trPr>
          <w:cantSplit/>
        </w:trPr>
        <w:tc>
          <w:tcPr>
            <w:tcW w:type="dxa" w:w="76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S06</w:t>
            </w:r>
          </w:p>
        </w:tc>
        <w:tc>
          <w:tcPr>
            <w:tcW w:type="dxa" w:w="2948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感知与战术决策</w:t>
            </w:r>
          </w:p>
        </w:tc>
        <w:tc>
          <w:tcPr>
            <w:tcW w:type="dxa" w:w="5924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已知目标、合法行动、掩体评分</w:t>
            </w:r>
          </w:p>
        </w:tc>
      </w:tr>
      <w:tr>
        <w:trPr>
          <w:cantSplit/>
        </w:trPr>
        <w:tc>
          <w:tcPr>
            <w:tcW w:type="dxa" w:w="76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S07</w:t>
            </w:r>
          </w:p>
        </w:tc>
        <w:tc>
          <w:tcPr>
            <w:tcW w:type="dxa" w:w="2948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导航与掩体占用</w:t>
            </w:r>
          </w:p>
        </w:tc>
        <w:tc>
          <w:tcPr>
            <w:tcW w:type="dxa" w:w="5924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路径请求、编队目标点、掩体预约</w:t>
            </w:r>
          </w:p>
        </w:tc>
      </w:tr>
      <w:tr>
        <w:trPr>
          <w:cantSplit/>
        </w:trPr>
        <w:tc>
          <w:tcPr>
            <w:tcW w:type="dxa" w:w="76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S08</w:t>
            </w:r>
          </w:p>
        </w:tc>
        <w:tc>
          <w:tcPr>
            <w:tcW w:type="dxa" w:w="2948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战斗与伤害</w:t>
            </w:r>
          </w:p>
        </w:tc>
        <w:tc>
          <w:tcPr>
            <w:tcW w:type="dxa" w:w="5924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开火提交、生命、护甲、倒地状态</w:t>
            </w:r>
          </w:p>
        </w:tc>
      </w:tr>
      <w:tr>
        <w:trPr>
          <w:cantSplit/>
        </w:trPr>
        <w:tc>
          <w:tcPr>
            <w:tcW w:type="dxa" w:w="76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S09</w:t>
            </w:r>
          </w:p>
        </w:tc>
        <w:tc>
          <w:tcPr>
            <w:tcW w:type="dxa" w:w="2948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技能与支援</w:t>
            </w:r>
          </w:p>
        </w:tc>
        <w:tc>
          <w:tcPr>
            <w:tcW w:type="dxa" w:w="5924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资源预留、技能效果与冷却</w:t>
            </w:r>
          </w:p>
        </w:tc>
      </w:tr>
      <w:tr>
        <w:trPr>
          <w:cantSplit/>
        </w:trPr>
        <w:tc>
          <w:tcPr>
            <w:tcW w:type="dxa" w:w="76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S10</w:t>
            </w:r>
          </w:p>
        </w:tc>
        <w:tc>
          <w:tcPr>
            <w:tcW w:type="dxa" w:w="2948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交互与物品</w:t>
            </w:r>
          </w:p>
        </w:tc>
        <w:tc>
          <w:tcPr>
            <w:tcW w:type="dxa" w:w="5924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搜索、唯一归属、转移、弹药数量</w:t>
            </w:r>
          </w:p>
        </w:tc>
      </w:tr>
      <w:tr>
        <w:trPr>
          <w:cantSplit/>
        </w:trPr>
        <w:tc>
          <w:tcPr>
            <w:tcW w:type="dxa" w:w="76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S11</w:t>
            </w:r>
          </w:p>
        </w:tc>
        <w:tc>
          <w:tcPr>
            <w:tcW w:type="dxa" w:w="2948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地图与遭遇</w:t>
            </w:r>
          </w:p>
        </w:tc>
        <w:tc>
          <w:tcPr>
            <w:tcW w:type="dxa" w:w="5924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出生、巡逻、容器与区域配置</w:t>
            </w:r>
          </w:p>
        </w:tc>
      </w:tr>
      <w:tr>
        <w:trPr>
          <w:cantSplit/>
        </w:trPr>
        <w:tc>
          <w:tcPr>
            <w:tcW w:type="dxa" w:w="76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S12</w:t>
            </w:r>
          </w:p>
        </w:tc>
        <w:tc>
          <w:tcPr>
            <w:tcW w:type="dxa" w:w="2948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救援与撤离</w:t>
            </w:r>
          </w:p>
        </w:tc>
        <w:tc>
          <w:tcPr>
            <w:tcW w:type="dxa" w:w="5924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携带关系、撤离资格与结果提案</w:t>
            </w:r>
          </w:p>
        </w:tc>
      </w:tr>
      <w:tr>
        <w:trPr>
          <w:cantSplit/>
        </w:trPr>
        <w:tc>
          <w:tcPr>
            <w:tcW w:type="dxa" w:w="76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S13</w:t>
            </w:r>
          </w:p>
        </w:tc>
        <w:tc>
          <w:tcPr>
            <w:tcW w:type="dxa" w:w="2948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基地与生产</w:t>
            </w:r>
          </w:p>
        </w:tc>
        <w:tc>
          <w:tcPr>
            <w:tcW w:type="dxa" w:w="5924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网格、建筑、电力、制造队列</w:t>
            </w:r>
          </w:p>
        </w:tc>
      </w:tr>
      <w:tr>
        <w:trPr>
          <w:cantSplit/>
        </w:trPr>
        <w:tc>
          <w:tcPr>
            <w:tcW w:type="dxa" w:w="76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S14</w:t>
            </w:r>
          </w:p>
        </w:tc>
        <w:tc>
          <w:tcPr>
            <w:tcW w:type="dxa" w:w="2948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成长任务与经济</w:t>
            </w:r>
          </w:p>
        </w:tc>
        <w:tc>
          <w:tcPr>
            <w:tcW w:type="dxa" w:w="5924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等级、任务条件、购买与交付提案</w:t>
            </w:r>
          </w:p>
        </w:tc>
      </w:tr>
      <w:tr>
        <w:trPr>
          <w:cantSplit/>
        </w:trPr>
        <w:tc>
          <w:tcPr>
            <w:tcW w:type="dxa" w:w="76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S15</w:t>
            </w:r>
          </w:p>
        </w:tc>
        <w:tc>
          <w:tcPr>
            <w:tcW w:type="dxa" w:w="2948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档案事务与恢复</w:t>
            </w:r>
          </w:p>
        </w:tc>
        <w:tc>
          <w:tcPr>
            <w:tcW w:type="dxa" w:w="5924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永久变更、行动日志、一次性提交</w:t>
            </w:r>
          </w:p>
        </w:tc>
      </w:tr>
      <w:tr>
        <w:trPr>
          <w:cantSplit/>
        </w:trPr>
        <w:tc>
          <w:tcPr>
            <w:tcW w:type="dxa" w:w="76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S16</w:t>
            </w:r>
          </w:p>
        </w:tc>
        <w:tc>
          <w:tcPr>
            <w:tcW w:type="dxa" w:w="2948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UI 与表现</w:t>
            </w:r>
          </w:p>
        </w:tc>
        <w:tc>
          <w:tcPr>
            <w:tcW w:type="dxa" w:w="5924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只读视图、动画、音效、特效</w:t>
            </w:r>
          </w:p>
        </w:tc>
      </w:tr>
      <w:tr>
        <w:trPr>
          <w:cantSplit/>
        </w:trPr>
        <w:tc>
          <w:tcPr>
            <w:tcW w:type="dxa" w:w="76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S17</w:t>
            </w:r>
          </w:p>
        </w:tc>
        <w:tc>
          <w:tcPr>
            <w:tcW w:type="dxa" w:w="2948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内容资源与型号目录</w:t>
            </w:r>
          </w:p>
        </w:tc>
        <w:tc>
          <w:tcPr>
            <w:tcW w:type="dxa" w:w="5924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角色身份、模型映射与来源记录</w:t>
            </w:r>
          </w:p>
        </w:tc>
      </w:tr>
      <w:tr>
        <w:trPr>
          <w:cantSplit/>
        </w:trPr>
        <w:tc>
          <w:tcPr>
            <w:tcW w:type="dxa" w:w="76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S18</w:t>
            </w:r>
          </w:p>
        </w:tc>
        <w:tc>
          <w:tcPr>
            <w:tcW w:type="dxa" w:w="2948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性能与调试</w:t>
            </w:r>
          </w:p>
        </w:tc>
        <w:tc>
          <w:tcPr>
            <w:tcW w:type="dxa" w:w="5924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测量、预算、诊断与发布检查</w:t>
            </w:r>
          </w:p>
        </w:tc>
      </w:tr>
    </w:tbl>
    <w:p>
      <w:pPr>
        <w:spacing w:before="0" w:after="40" w:line="40" w:lineRule="exact"/>
      </w:pPr>
      <w:r>
        <w:rPr>
          <w:rFonts w:ascii="Noto Sans CJK SC" w:hAnsi="Noto Sans CJK SC" w:eastAsia="Noto Sans CJK SC" w:cs="Noto Sans CJK SC"/>
          <w:i w:val="0"/>
          <w:color w:val="000000"/>
          <w:sz w:val="4"/>
          <w:szCs w:val="4"/>
          <w:b w:val="0"/>
          <w:bCs w:val="0"/>
          <w:lang w:val="en-US" w:eastAsia="zh-CN"/>
        </w:rPr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上表为长期职责地图，不要求创建十八个全局管理器。当前新增 BattleSession、SquadInput、SquadCamera、CharacterUnit、Health、CharacterDefinition 与普通 C# 类 BattleProjectile。命令枚举和状态保存在 CharacterUnit 内，暂不单建 UnitCommand。CharacterCombat 保留原名并负责表现，BACharacterPresentation 通过 BindUnit 等接口绑定单位；动作与技能资源继续复用。</w:t>
      </w:r>
    </w:p>
    <w:p>
      <w:pPr>
        <w:pStyle w:val="Heading2"/>
      </w:pPr>
      <w:r>
        <w:t>2 1 本次 Demo 类职责</w:t>
      </w:r>
    </w:p>
    <w:p>
      <w:pPr/>
      <w:r>
        <w:t>BattleSession组合四名前排、两名Special与静态目标，管理编队出击、入场、暂停、简单撤离、胜败和重开，统一驱动逻辑Tick。支援不计入前排生命、导航与撤离人数；不以清敌结束战斗。所有单位与投射物使用会话步长。</w:t>
      </w:r>
    </w:p>
    <w:p>
      <w:pPr/>
      <w:r>
        <w:t>SquadInput处理uGUI编队选槽与同组换位、前排3D拖拽、战场选择和玩家命令，将移动、集火、停驻或技能请求交给单位，不直接改位置或扣血。技能入口覆盖F1至F6及右下横排6张原斜卡；临战支持先选前排再F6绑定。</w:t>
      </w:r>
    </w:p>
    <w:p>
      <w:pPr/>
      <w:r>
        <w:t>SquadCamera负责战场平移缩放，并承接原V2的4+2入场及四名前排胜利演员镜头。暂停时仍可观察战场；不通过切换单人控制来移动镜头。六人入场和撤离胜利已有运行验证，失败姿势和DEFEAT、支援技能后外层root隐藏均已实测正确且无警告。</w:t>
      </w:r>
    </w:p>
    <w:p>
      <w:pPr/>
      <w:r>
        <w:t>CharacterUnit：绑定现有表现器并持有命令枚举、目标和自动行为状态，负责移动、攻击、换弹及 EX 释放的逻辑时序，并向撤离判定提供是否完成原版刹车动作并停稳的状态；由 BattleSession 统一 Tick。玩家指令优先于默认自动行为，CharacterCombat 不再平行仲裁逻辑时钟。</w:t>
      </w:r>
    </w:p>
    <w:p>
      <w:pPr/>
      <w:r>
        <w:t>Health：保存每个实体独立生命、受伤和死亡状态，是敌方目标生命的唯一写入口。敌方无需 AI 即可接收有效命中；输入、UI 与纯表现组件不得各自修改血量。</w:t>
      </w:r>
    </w:p>
    <w:p>
      <w:pPr/>
      <w:r>
        <w:t>CharacterDefinition：保存只读角色身份、前后排类型、已有表现与技能引用及 Demo 调试参数；不保存局内生命或命令。属性系数是调试值，不宣称为原版数值。</w:t>
      </w:r>
    </w:p>
    <w:p>
      <w:pPr/>
      <w:r>
        <w:t>BattleProjectile：普通 C# 类，由会话战斗 Tick 推进投射物逻辑，维护目标与命中生命周期，向 Health 提交有效结果。它不是额外挂载到每颗弹丸的 MonoBehaviour；弹丸视觉与命中特效仍复用已有资源。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i w:val="0"/>
          <w:color w:val="000000"/>
          <w:sz w:val="30"/>
          <w:szCs w:val="30"/>
          <w:b w:val="1"/>
          <w:bCs w:val="1"/>
          <w:lang w:val="en-US" w:eastAsia="zh-CN"/>
        </w:rPr>
        <w:t>3 行动流程与时间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3 1 FR01 行动状态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行动至少包含基地、准备提交、加载、活动、撤离读条、结果冻结、结算提交、结算展示和中断恢复状态。进入地图前建立 RaidId，并将出战装备从基地库存转移或锁定到该行动。加载失败时按准备事务的实际提交状态恢复，不同时保留基地和局内两份装备。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活动与撤离读条均属于可指挥阶段，允许战斗命令、合法交互和技能；撤离相关移动仍受资格变化规则约束。结果冻结后不再接收会改变战斗结果的输入；永久档案写入成功后，才清理行动日志并返回基地。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3 2 FR02 同帧终局顺序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长期终局仍按固定模拟步仲裁输入、移动动作、伤害生命、撤离资格与倒计时。当前 BattleSession 统一驱动 CharacterUnit 和 BattleProjectile，并按第1章的简单撤离规则结束 Demo；不以清敌判胜。CharacterUnit 掌握攻击、换弹、EX 的逻辑时序，CharacterCombat 只承担表现职责。当前胜利与重开不包含物资或经济结算。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因此，在撤离完成的同一步受到致命伤害，必须先根据伤害后的状态计算资格。不能让某个 MonoBehaviour 的执行先后偶然决定物资是否带回。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3 3 FR03 暂停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当前 Space 切换战术暂停，BattleSession 停止战斗逻辑 Tick，因此移动、攻击、换弹、EX 逻辑和投射物推进冻结。暂停中仍可移动镜头、选择角色和下达移动指令，恢复后执行；暂停中禁止释放 EX。当前撤离计时在暂停及 EX 过场期间不推进；后续搜索、救援和资源回复也必须服从统一暂停状态。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当前暂停只编辑允许的选择与移动意图，不提供暂停中释放 EX 或技能费用预留。Esc上下文取消、背包窗口和失焦暂停等属于后续输入设计，不能计入当前已实现行为。普通背包与搜刮是否自动暂停在相应功能接入时明确。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i w:val="0"/>
          <w:color w:val="000000"/>
          <w:sz w:val="30"/>
          <w:szCs w:val="30"/>
          <w:b w:val="1"/>
          <w:bCs w:val="1"/>
          <w:lang w:val="en-US" w:eastAsia="zh-CN"/>
        </w:rPr>
        <w:t>4 编成与角色身份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4 1 FR04 四加二合法性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编制固定四个前排槽与两个Special槽。当前可选前排为普通爱丽丝、小绿、小桃、柚子，支援为CH0203与CH0336；游戏开发部10个资源形态不能当作10名Demo可选学生。六人共同参与原V2入场，仅前排进入常规地面导航、生命与撤离统计。第一前排是队长；编队同组换位可调整其人选。后续再扩展角色可用性、重复身份、负伤及装备校验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以下为后续完整支援补给经济规则，不代表当前两名Special的入场或技能实现。两名支援的模块留在基地。若使用消耗型支援补给，出击时建立本局使用额度并锁定对应库存；每次技能提交先以唯一 SkillCommitId 在持久行动日志中记录实际使用，成功后生效。结算或中断恢复按日志扣除，未使用部分解除锁定。重复提交不得重复计数，写入失败时不生效并释放预留。普通恢复型技能不额外增加未声明的道具费用。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4 2 FR05 角色与配置分离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CharacterDefinition 保存只读角色身份、前后排类型及现有表现预制体和技能资源的引用，不复制现有技能数据。CharacterUnit 持有单个场景单位的当前命令、自动行为状态及表现器绑定；Health 持有该实体独立生命值。后续永久 CharacterInstance 才保存等级、技能等级、装备和负伤，不把本次局内状态写入共享配置。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局内生命或装备不得写回共享CharacterDefinition。当前Special复用角色资源参与入场和技能表现，不进入前排地面导航、生命或撤离集合。女仆CH0203为原定点炮击；临战CH0336设计为绑定前排随后三次EX触发支持，目前仅绑定后一次有运行验证。技能详情与限制见第9章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4 3 FR06 AI 型号身份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AI 角色资料使用 ProviderId、FamilyId、OfficialModelName、ModelVersion、EntryKind、SourceUrl、VerifiedAt 和 CharacterDefinitionId。具体型号为稳定角色定义；API 别名、日期快照、订阅套餐、推理档位与产品模式分别分类。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不同型号可以同时出战，同一 CharacterDefinitionId 默认限制一个。皮肤指向同一角色实例，不创建额外等级。官方别名更新只能修改目录映射，不能把旧角色的等级、装备或存档合并到另一个型号。现实模型下线不删除游戏角色。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i w:val="0"/>
          <w:color w:val="000000"/>
          <w:sz w:val="30"/>
          <w:szCs w:val="30"/>
          <w:b w:val="1"/>
          <w:bCs w:val="1"/>
          <w:lang w:val="en-US" w:eastAsia="zh-CN"/>
        </w:rPr>
        <w:t>5 输入镜头与选择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5 1 FR07 选择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左键点选主战或头像，拖框多选，Shift 增减选择；数字一至四选择槽位，五选择全部可行动主战。倒地头像允许查看和发起由他人执行的救援，但不能进入移动命令执行集合。两名支援只通过技能入口操作。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选择集合使用稳定角色实例ID，不能依赖场景对象顺序。角色失能、撤离冻结或场景卸载时更新集合。点击 UI 时，UI 命中必须阻止世界命令，拖动背包物品也不能意外触发框选。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5 2 FR08 命令预览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当前右键地面移动、右键敌方目标集火，Alt加右键地面发出攻击移动；H停驻，X恢复自动。指令由 CharacterUnit 内的命令枚举和状态执行。掩体、交互、路径预览和 Shift 命令队列均为后续目标；当前 Shift 只用于追加选择。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多选搜索时只分配一名执行者，优先选取可行动且存在完整路径的最近队员，并显示头像。无法分配时不让全队自动移动到容器。技能目标预览激活时，输入按技能上下文解释，Esc 取消而不消耗资源。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5 3 FR09 镜头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SquadCamera 负责独立小队观察，WASD或鼠标中键平移、滚轮缩放；暂停中镜头仍可使用。后续再增加小地图定位、遮挡淡出等功能，不要求玩家切换单个角色才能观察战场。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当前使用uGUI，已删除OnGUI界面。战场右下以原斜卡素材横排显示6张技能入口，F1至F4对应前排，F5/F6对应支援；前排生命显示为4段血条。这是技能入口与状态显示，不是原版COST牌库。临战支持先选前排，再按F6绑定。左键或框选、Shift追加选择、数字1至4单选、数字5全选；右键移动或集火，Alt右键攻击移动，H停驻，X恢复自动；Space暂停，WASD或中键平移、滚轮缩放。暂停中可选人和下移动指令，不能释放EX。Q/E、G集合、I/M背包地图与命令队列仍非当前功能。单选移动播放该学生原移动语音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i w:val="0"/>
          <w:color w:val="000000"/>
          <w:sz w:val="30"/>
          <w:szCs w:val="30"/>
          <w:b w:val="1"/>
          <w:bCs w:val="1"/>
          <w:lang w:val="en-US" w:eastAsia="zh-CN"/>
        </w:rPr>
        <w:t>6 指挥与自动行为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6 1 FR10 命令对象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当前命令类型与状态保存在 CharacterUnit 内，以枚举和目标/落点表达意图，暂不单建 UnitCommand 空壳类。EX由单位请求接口单独校验；移动、攻击、换弹和技能时序仍由 CharacterUnit 推进。后续出现真实队列、持久化或跨系统需求时，再考虑独立命令对象及 CommandId/RaidId 等字段。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默认状态为自动战斗，允许单位自行取得合法目标、进入有效攻击位置并请求现有普攻与换弹。仲裁顺序为不可行动状态、有效玩家覆盖指令、当前不可中断战斗阶段、默认自动行为；自动行为不能抢走玩家的移动或指定目标。命令完成、取消或目标失效后按规则回到自动战斗，不把无玩家输入等同永久站桩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6 2 FR11 行为矩阵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100" w:type="dxa"/>
          <w:right w:w="100" w:type="dxa"/>
        </w:tblCellMar>
      </w:tblPr>
      <w:tblGrid>
        <w:gridCol w:w="1701"/>
        <w:gridCol w:w="2551"/>
        <w:gridCol w:w="2835"/>
        <w:gridCol w:w="2551"/>
      </w:tblGrid>
      <w:tr>
        <w:trPr>
          <w:cantSplit/>
          <w:tblHeader/>
        </w:trPr>
        <w:tc>
          <w:tcPr>
            <w:tcW w:type="dxa" w:w="1701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命令</w:t>
            </w:r>
          </w:p>
        </w:tc>
        <w:tc>
          <w:tcPr>
            <w:tcW w:type="dxa" w:w="2551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途中或执行中的攻击</w:t>
            </w:r>
          </w:p>
        </w:tc>
        <w:tc>
          <w:tcPr>
            <w:tcW w:type="dxa" w:w="2835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自动位移权限</w:t>
            </w:r>
          </w:p>
        </w:tc>
        <w:tc>
          <w:tcPr>
            <w:tcW w:type="dxa" w:w="2551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结束行为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Move</w:t>
            </w:r>
          </w:p>
        </w:tc>
        <w:tc>
          <w:tcPr>
            <w:tcW w:type="dxa" w:w="2551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途中默认不射击，可移动换弹</w:t>
            </w:r>
          </w:p>
        </w:tc>
        <w:tc>
          <w:tcPr>
            <w:tcW w:type="dxa" w:w="283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走向目标，不为战斗停步</w:t>
            </w:r>
          </w:p>
        </w:tc>
        <w:tc>
          <w:tcPr>
            <w:tcW w:type="dxa" w:w="2551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本次抵达后回到自动战斗；后续才加入一点五米内掩体吸附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AttackMove</w:t>
            </w:r>
          </w:p>
        </w:tc>
        <w:tc>
          <w:tcPr>
            <w:tcW w:type="dxa" w:w="2551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遇到合法敌人时交战，战斗后继续目的地</w:t>
            </w:r>
          </w:p>
        </w:tc>
        <w:tc>
          <w:tcPr>
            <w:tcW w:type="dxa" w:w="283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当前支持攻击移动；后续扩展局部掩体</w:t>
            </w:r>
          </w:p>
        </w:tc>
        <w:tc>
          <w:tcPr>
            <w:tcW w:type="dxa" w:w="2551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没有有效目标时继续原路线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FocusTarget</w:t>
            </w:r>
          </w:p>
        </w:tc>
        <w:tc>
          <w:tcPr>
            <w:tcW w:type="dxa" w:w="2551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只对指定合法目标进攻</w:t>
            </w:r>
          </w:p>
        </w:tc>
        <w:tc>
          <w:tcPr>
            <w:tcW w:type="dxa" w:w="283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下令位置八米内局部追击</w:t>
            </w:r>
          </w:p>
        </w:tc>
        <w:tc>
          <w:tcPr>
            <w:tcW w:type="dxa" w:w="2551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目标失效后报告并恢复自动战斗；后续视野和追击约束单独验收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Hold</w:t>
            </w:r>
          </w:p>
        </w:tc>
        <w:tc>
          <w:tcPr>
            <w:tcW w:type="dxa" w:w="2551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停驻时可攻击合法目标</w:t>
            </w:r>
          </w:p>
        </w:tc>
        <w:tc>
          <w:tcPr>
            <w:tcW w:type="dxa" w:w="283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H停驻；不自动恢复行进</w:t>
            </w:r>
          </w:p>
        </w:tc>
        <w:tc>
          <w:tcPr>
            <w:tcW w:type="dxa" w:w="2551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保持至新命令；X恢复自动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OccupyCover</w:t>
            </w:r>
          </w:p>
        </w:tc>
        <w:tc>
          <w:tcPr>
            <w:tcW w:type="dxa" w:w="2551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抵达后防守与射击</w:t>
            </w:r>
          </w:p>
        </w:tc>
        <w:tc>
          <w:tcPr>
            <w:tcW w:type="dxa" w:w="283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使用指定槽位及其射击点</w:t>
            </w:r>
          </w:p>
        </w:tc>
        <w:tc>
          <w:tcPr>
            <w:tcW w:type="dxa" w:w="2551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失效则报告并原地警戒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Regroup</w:t>
            </w:r>
          </w:p>
        </w:tc>
        <w:tc>
          <w:tcPr>
            <w:tcW w:type="dxa" w:w="2551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途中默认不射击</w:t>
            </w:r>
          </w:p>
        </w:tc>
        <w:tc>
          <w:tcPr>
            <w:tcW w:type="dxa" w:w="283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向静态集合点形成队形</w:t>
            </w:r>
          </w:p>
        </w:tc>
        <w:tc>
          <w:tcPr>
            <w:tcW w:type="dxa" w:w="2551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按人抵达，失败者单独报告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Interact</w:t>
            </w:r>
          </w:p>
        </w:tc>
        <w:tc>
          <w:tcPr>
            <w:tcW w:type="dxa" w:w="2551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交互期间不射击</w:t>
            </w:r>
          </w:p>
        </w:tc>
        <w:tc>
          <w:tcPr>
            <w:tcW w:type="dxa" w:w="283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到达交互距离后保持</w:t>
            </w:r>
          </w:p>
        </w:tc>
        <w:tc>
          <w:tcPr>
            <w:tcW w:type="dxa" w:w="2551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完成后警戒，受伤则中断</w:t>
            </w:r>
          </w:p>
        </w:tc>
      </w:tr>
    </w:tbl>
    <w:p>
      <w:pPr>
        <w:spacing w:before="0" w:after="40" w:line="40" w:lineRule="exact"/>
      </w:pPr>
      <w:r>
        <w:rPr>
          <w:rFonts w:ascii="Noto Sans CJK SC" w:hAnsi="Noto Sans CJK SC" w:eastAsia="Noto Sans CJK SC" w:cs="Noto Sans CJK SC"/>
          <w:i w:val="0"/>
          <w:color w:val="000000"/>
          <w:sz w:val="4"/>
          <w:szCs w:val="4"/>
          <w:b w:val="0"/>
          <w:bCs w:val="0"/>
          <w:lang w:val="en-US" w:eastAsia="zh-CN"/>
        </w:rPr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当前支持移动、集火、攻击移动、停驻与恢复自动；手动EX走单位技能请求。行为表中掩体、完整追击/视野约束、交互和队列是后续扩展，不把示意距离当作 Demo 实测值。X恢复自动不是长期清空后永久待命；H则保持停驻直到新命令。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6 3 FR12 静默与自动技能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静默开火规则属于后续扩展，不能替代本次默认自动战斗。后续启用时，静默禁止自主开火，受击不解除；明确集火或手动攻击技能只授权该动作。自动治疗为 P1 之后的可选策略，按玩家设置的阈值与物品白名单执行。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当前前排默认处理索敌、接敌、普攻和换弹。手动技能由F1至F6或右下6按钮请求，暂停中拒绝；临战支持须先选前排再F6。后续技能自动策略单独配置，不自动开放搜刮、换装或自行前往撤离区。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6 4 FR13 中断与回退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玩家指令进入 CharacterUnit 仲裁，逻辑取消、动作结束和技能提交均服从单位状态及统一 Tick；不得让输入、表现器和单位各自开火。已发射投射物按当前 BattleProjectile 生命周期处理，重复表现事件不能再提交伤害。后续队列失败与有限重寻路独立扩展。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指定目标失去视野后，最多使用最后已知位置尝试三秒，始终受八米追击范围约束；不得读取隐藏目标的当前位置。目标死亡、失能、超界或超时后结束集火并显示原因。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i w:val="0"/>
          <w:color w:val="000000"/>
          <w:sz w:val="30"/>
          <w:szCs w:val="30"/>
          <w:b w:val="1"/>
          <w:bCs w:val="1"/>
          <w:lang w:val="en-US" w:eastAsia="zh-CN"/>
        </w:rPr>
        <w:t>7 导航掩体与感知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7 1 FR14 导航与编队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本次沿用工程可用的移动与导航能力，由 CharacterUnit 将玩家目标或自动接敌目标交给单一移动入口，禁止自动移动与玩家移动同时写位置。后续复杂避障、掩体和狭路编队逐步接入；Unity AI Navigation 只提供导航能力，不自动定义本作的命令和目标策略。[T1][T2]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组队命令先分配不重叠目的地，再提交各自路径。槽位分配保持稳定，不每帧按距离重新排序。狭路采用稳定顺序临时单列。连续一点五秒缺少有效位移时执行局部绕行与有限重寻路，仍失败则提示卡路；其他成员可以继续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7 2 FR15 掩体结构与硬过滤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CoverDefinition 至少包含 CoverId、SlotId、HidePoint、LeftFirePoint、RightFirePoint、保护方向、支持姿态、占用容量和有效性。候选必须满足路径完整、命令范围、可站立、不穿插、不在已知危险区和槽位可用。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保护校验从已知主要威胁检查角色躯干样本点的遮挡；开火校验从实际射击点检查目标。两组检测分开。无真实姿态支持时不使用低姿态碰撞优势。敌人进入侧翼后重新计算保护，不能永久保留一次获得的掩体状态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7 3 FR16 掩体评分与预约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原型评分采用归一化加权：保护零点四零、射击条件零点二五、较短路径零点一五、较小编队偏离零点一零、保持当前点零点一零。最短保持一点五秒，新候选至少高零点一五才普通换位；点位失效、侧击或玩家新命令可跳过迟滞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槽位状态为空闲、预约、占用。预约返回唯一 Token，租期两秒，每零点五秒按有效命令续租。取消、倒地、路径失败和退出行动释放 Token。旧回调不能释放新命令持有的 Token。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同一步争抢按显式占位命令、完整路径成本、稳定角色ID裁决。已经占用的点不被强抢，失败者重新选候选或报告无可用点。评分不能读取未发现敌人的真实位置。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7 4 FR17 视野与声音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感知结果保存目标ID、最后已知位置、发现时间、来源和置信状态。主战共享已经确认的情报，攻击仍需各自射线。失去视野后位置标记冻结，不继续跟随目标。声音只产生调查区域，不能直接成为精确攻击坐标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本次敌人只挂载 Health 并作为可选的受击目标，不实现敌方移动、感知、索敌、攻击或反击。后续敌方 AI 才读取感知与记忆；侦察可以临时揭示实体，但不能忽略伤害碰撞，隐藏目标也不能通过血条或小地图泄露。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i w:val="0"/>
          <w:color w:val="000000"/>
          <w:sz w:val="30"/>
          <w:szCs w:val="30"/>
          <w:b w:val="1"/>
          <w:bCs w:val="1"/>
          <w:lang w:val="en-US" w:eastAsia="zh-CN"/>
        </w:rPr>
        <w:t>8 武器伤害与表现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8 1 FR18 普通射击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普攻逻辑由CharacterUnit在BattleSession统一Tick中推进，命中交由BattleProjectile/Health；CharacterCombat与BACharacterPresentation承担表现。连续普攻保留原AttackStart→AttackIng→AttackDelay循环，仅停止射击时经AttackEnd回Idle。枪口与飞弹表现由原生动画事件触发，命中仍由BattleProjectile/Health逻辑提交，事件不重复扣血。普通爱丽丝普攻命中特效与事件时机已修复；这不代表全部EX音效和VFX已验收。后续射线、散布和墙体规则也接入同一逻辑结果入口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BattleProjectile 维护普通投射物的目标、飞行和命中生命周期，命中后只向 Health 提交一次有效结果；视觉弹丸、音效和命中特效复用现有资源。退出会话或重开时清理原会话投射物，禁止迟到回调伤害新的目标。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8 2 FR19 弹药与装填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攻击与换弹的逻辑节奏由CharacterUnit统一管理并驱动既有动作，原生动画事件触发枪口与飞弹表现，不另开第二套逻辑计时。换弹动画切换按原武器状态配置核对，具体时长约束见FR21。背包备弹经济尚未接入；后续仅在逻辑开火和装填提交点变更物品数量，不能出现两套装填提交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武器没有备弹时进入无弹提示，但仍接受移动、交互和救援。配发武器弹药属于明确的配发能力，不得转换成可出售普通弹药。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8 3 FR20 伤害和友军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Health 是敌方目标生命的唯一写入口，接收单位或投射物逻辑提交的有效伤害，并记录存活或死亡；敌人不需要 AI。输入、UI、动画事件和表现组件不得直接重复改血。当前基础血量和伤害系数为 Demo 调试值，后续护甲、行动编号与事件去重按实际需求扩展。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首版关闭友伤，普通子弹和射线同时忽略友方身体；环境墙体和敌人仍可阻挡。爆炸、持续区域和支援打击统一使用同一阵营规则。精英或首领可以有额外抗性，但必须通过可读状态或说明体现。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8 4 FR21 动画与反馈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角色模型、动画、EX、音效、头像与血条复用已有资源；CharacterUnit统一逻辑，CharacterCombat/BACharacterPresentation承担表现。出击前编队已使用3D站立角色、原提起与放下动画及提起语音；uGUI支持选槽和同组换位，前排另支持3D拖拽，仅允许前排组内或支援组内交换。当前并非完整原版编队功能。编队曝光单独设为-0.3 EV，只在编队生效；出击前播放原版屏幕过渡，避免切换穿帮，战场不套用该曝光。第一前排槽为队长；入场语音仅从该队长自身已接入的两条原出场语音中随机。胜利语音仍从存活前排随机选择。单选学生下达移动命令时播放该学生原移动语音。原V2六人入场2.9667秒；撤离后先战场VICTORY约1.333秒，再同时显示Complete并播放四前排8秒胜利演出，演出后结果层继续保持，不虚构EXP奖励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命令音效、选择轮廓、目标线与失败提示由事件触发；连续普攻与拾取消息合并或限频，倒地、无弹和撤离名单变化保持高优先级。战场右下以原斜卡素材横排显示6张技能入口，F1至F4对应前排，F5/F6对应支援；前排生命显示为4段血条。这是技能入口与状态显示，不是原版COST牌库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2026年10月28日本轮以逐帧采样、关键帧核对及视觉复看检查游戏开发部10个资源形态的移动、刹车、攻击、换弹及战场EX回Idle切换；10形态是资源核对范围，当前Demo可选仍为4名前排与2名支援。两名支援没有原普攻，不伪造攻击动作。此次未新增runtime脚本，也未修改原动画关键帧；Play复查Console无警告或错误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切换时长遵循原逻辑的武器状态表优先，不统一套用4/30。普通柚子攻击过渡按原NormalAttack fallback采用4/30 normalized，不能写成固定0.133秒；两个派生普攻clip设为loop=false并保留原关键帧。小绿Reload入口采用4/30 normalized，当前Demo的Reload→Idle为0.1秒接入平滑设置，不宣称为原版规则。小绿攻击、普通柚子普攻及小绿换弹的cloth骨逐帧跳变已改善；此角度诊断不作为整体游戏品质评分。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普通爱丽丝刹车快速甩裙、女仆桃井跑步裙摆接缝来自原曲线或原loop设定，按原动作保留。临战爱丽丝两种EX尾段回Idle未复现大幅突跳。女仆柚子EX白脸通过绑定实际Directional Light及使用原光方向曲线修复，未修改原关键帧。上述验证范围是动画切换，不等于所有EX音效、VFX或全部玩法验收。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i w:val="0"/>
          <w:color w:val="000000"/>
          <w:sz w:val="30"/>
          <w:szCs w:val="30"/>
          <w:b w:val="1"/>
          <w:bCs w:val="1"/>
          <w:lang w:val="en-US" w:eastAsia="zh-CN"/>
        </w:rPr>
        <w:t>9 技能与后方支援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9 1 FR22 技能定义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CharacterDefinition 引用现有角色表现、CharacterSkillData和EX资源，并提供Demo所需调试属性。技能释放逻辑由 CharacterUnit 在统一Tick中推进，CharacterCombat/BACharacterPresentation复用既有演出。沿用资源不等于沿用一套并行逻辑时序；后续费用、冷却与预留在同一释放链上扩展。</w:t>
      </w:r>
    </w:p>
    <w:p>
      <w:pPr/>
      <w:r>
        <w:t>当前EX判定边界：爱丽丝按原始技能数据采用直线贯穿，width=2、height=1、speed=15；小绿采用单目标，柚子采用地面目标。小桃伤害暂用范围判定，尚未完成精确扇形边界，因此不能宣称四人EX的几何判定全部还原原版。除明确核对的这些参数外，其他属性系数仍为Demo调试值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当前Special为花冈柚子（女仆）CH0203原定点炮击，时长1.7667秒，以及花冈柚子（临战）CH0336：先指定一名前排，设计上在该前排随后三次EX触发原支持效果；目前仅绑定后一次EX有运行验证，第二、第三次尚未验证。两支援不参与地面导航、生命或撤离人数统计，没有原普攻，不伪造攻击。六技能入口已接入，但没有原版COST牌库或完整原版UI；主战与支援仍须通过状态和目标合法性校验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9 2 FR23 费用与暂停计划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共享指挥资源与暂停技能计划仍是后续M0/P0设计，上限十、初始四等仅为待测基线。当前EX请求使用Demo状态校验，不在暂停中释放，也不实现暂停费用预留。后续增加资源时，取消或目标失效须释放未提交预留。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后续费用系统在统一技能提交点扣费并启动冷却，重复点击或表现事件不得再次扣费。当前EX逻辑释放由CharacterUnit控制；不能把未来的暂停技能计划写成本次已支持操作。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9 3 FR24 支援边界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支援治疗不默认复活倒地或失能者；扫描只提供规定时长的情报；区域打击需要合法目标区域。空中表现可从场外进入，但伤害仍由技能系统仲裁。召唤物保存独立实体ID、所属者、时限与数量上限，不参与普通撤离人数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i w:val="0"/>
          <w:color w:val="000000"/>
          <w:sz w:val="30"/>
          <w:szCs w:val="30"/>
          <w:b w:val="1"/>
          <w:bCs w:val="1"/>
          <w:lang w:val="en-US" w:eastAsia="zh-CN"/>
        </w:rPr>
        <w:t>10 搜索背包与交易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10 1 FR25 搜索与交互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交互具有唯一执行者、可达检查、距离检查、占用Token、读条和提交点。普通容器原型搜索两至六秒。直接受伤、角色失能、移动取消或距离失效时中断，未提交的揭示操作不生效，已经完成的拾取不回滚。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容器内容由行动随机种子与容器状态确定，取消再搜索不能反复刷新。搜索完成保留已揭示内容。多人同时操作同一容器时串行处理转移，重复点击不会生成第二份物品。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10 2 FR26 物品唯一归属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物品位置只能为基地仓库、角色装备位、角色背包、地图容器、地面物资包或结算暂存区之一。不可堆叠物品保存唯一 InstanceId；堆叠拆分生成新ID并保持数量守恒。快捷栏仅引用实例，不增加容量。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物品转移经过统一服务。先检查来源版本、数量、目标格数、重量与操作条件，再原子移除来源并加入目标。失败不得部分丢失。UI 不直接修改背包数组。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10 3 FR27 交接与负重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四人共享展示，不共享物理背包。两名可交互主战在两米内可执行一秒交接；超出距离只提示或由玩家确认接近命令，不立即传送。交接中断时物品保留在来源，释放容量预留。可行动成员也可在两米内对倒地或失能队友执行一秒物资回收，受回收者无需可行动；使用同样的容量预留与原子转移。伤员菜单区分扶起、携带和查看物资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原型每人十二格、常规承重二十千克，硬上限为常规的一点二倍。百分之八十以内速度不变，八十至一百线性下降到零点八五，一百至一百二十线性下降到零点七。超过硬上限的新拾取失败；既有物品不得被系统自动删除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M0 可关闭重量，仅验证格数；P0 开启后须明确显示。重量因负面状态改变而临时超限时只限制新拾取并提示，允许缓慢移动、丢弃或交接。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10 4 FR28 仓库与配装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基地配装只操作真实库存实例，交换装备必须整体成功或失败。保存编队预设可以引用装备类型与偏好，不假设被其他人占用的装备同时存在。装备替换失败显示被占用、容量或角色不兼容的具体原因。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撤离时仓库满，物品先进入持久结算暂存区。整理前禁止下一次出击，允许入库、出售或主动丢弃。重新进入游戏仍能继续整理，不删除成功带出的奖励。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i w:val="0"/>
          <w:color w:val="000000"/>
          <w:sz w:val="30"/>
          <w:szCs w:val="30"/>
          <w:b w:val="1"/>
          <w:bCs w:val="1"/>
          <w:lang w:val="en-US" w:eastAsia="zh-CN"/>
        </w:rPr>
        <w:t>11 倒地携带与最终撤离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11 1 FR29 生命状态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状态为可行动、倒地、失能及离场。生命归零进入倒地，原型计时六十秒。队友开始救援时预留救援道具，连续五秒成功提交时扣除，恢复最大生命的百分之三十并记录本局已救援；中断只释放预留。每人每局最多一次扶起；再次倒地或计时耗尽进入失能。当前模拟步结算后无任何可行动主战时立即失败，包括全员倒地，不额外等待倒地计时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倒地和失能立即取消命令、技能准备、搜索与掩体预约。失能不销毁角色档案。负伤恢复在结算阶段写入永久实例，不由地图对象销毁时顺便执行。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11 2 FR30 携带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一名可行动主战可携带一名倒地或失能者。建立双向唯一携带关系，伤员不能再次被另一人携带。携带者不能开火、使用攻击技能或搜索容器，可以移动、放下伤员和撤离。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携带速度系数为零点六，与携带者自身负重速度系数取较低值，不叠乘。伤员与其背包不额外占用携带者的普通格数和负重额度，物品仍属于伤员。携带者倒地时自动在当前位置合法地面放下伤员，禁止遗留不可见附着对象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11 3 FR31 撤离资格与确认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以下为完整首版的长期撤离资格与确认规则；当前 Demo 使用第1章的全体存活前排停稳3秒规则。至少一名可行动主战在已开放撤离区内，才可发起。资格集合包括区内可行动成员和由区内可行动成员实际携带的伤员；单独倒在区内的角色不自动带出。两名支援始终不在资格集合中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界面列出将撤离、被携带和将放弃的成员。存在不合格成员时须明确确认放弃。确认保存资格集合版本；任何成员进出区、失能、放下伤员或携带关系变化导致版本改变时，中止读条并重新确认。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11 4 FR32 撤离提交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读条原型八秒，受伤但未导致资格变化不重置。发起者离区或失能、时限到期或名单改变时中止。P0 使用固定开放撤离点；P1 增加条件撤离，条件失效同样中止。读条结束重新验证，构造不可变结果快照并进入结果冻结。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一次最终撤离结束整局。成功带出物品按冻结时的实际持有人和携带关系决定，初始所有者不影响拾回装备的归属。所有区外物品和未撤离者身上的普通装备按失败规则损失；人物等级、技能与解锁保留。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i w:val="0"/>
          <w:color w:val="000000"/>
          <w:sz w:val="30"/>
          <w:szCs w:val="30"/>
          <w:b w:val="1"/>
          <w:bCs w:val="1"/>
          <w:lang w:val="en-US" w:eastAsia="zh-CN"/>
        </w:rPr>
        <w:t>12 基地建造与生产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12 1 FR33 网格放置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P0 至少实现指挥中心、仓库、医务室与工坊的实体建筑和管理功能。网格边界、占用、保留通道、旋转后尺寸和材料余额全部通过后才提交建造。非法预览不扣资源，也不占格。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建议初始网格十二乘十二，具体尺寸可调整。建筑拥有稳定实例ID，搬移只改变位置与朝向，保留等级、库存引用和队列。取消预览不影响已建建筑。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12 2 FR34 升级拆除与电力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升级校验建筑等级上限、前置、材料和占地变化。拆除前显示影响；仓库容量缩减后无法容纳现有物品时拒绝，处理队列未取消或领取时也不能静默删除。搬移免费，拆除返还比例配置并在确认时展示。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P1 启用基地总量供电。供给不足时按玩家设定优先级暂停相关功能，保留生产进度和物品。恢复供电继续工作。普通仓储和已有角色数据不会因断电消失。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12 3 FR35 生产治疗与训练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生产任务拥有 JobId、配方、材料扣除、进度、状态和领取记录。确认生产时扣材料，完成后产生待领取结果；领取、取消与重复回调由同一事务仲裁。输出空间不足进入待领取，不丢弃产物。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P0 的治疗与P1新增的训练复用统一任务生命周期，但保存各自资源与效果。首版不要求离线真实时间计时，进度通过基地操作或完成行动推进。免费应急恢复始终能让最低出击阵容重新行动。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i w:val="0"/>
          <w:color w:val="000000"/>
          <w:sz w:val="30"/>
          <w:szCs w:val="30"/>
          <w:b w:val="1"/>
          <w:bCs w:val="1"/>
          <w:lang w:val="en-US" w:eastAsia="zh-CN"/>
        </w:rPr>
        <w:t>13 经验技能与经济任务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13 1 FR36 成长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账号指挥等级与角色等级分开。经验由结算结果统一发放，治疗、侦察和支援按团队参与获得经验，不仅按最后一击。成功撤离和被携带撤离的主战使用成功倍率，未撤离主战只保留基础参与经验的百分之二十五。支援按整次行动是否成功撤离使用成功或失败倍率；任务与账号进度仍依各自条件结算，不隐式继承角色经验倍率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角色升级、技能升级和装备属性应用由统一属性计算生成最终值，不在多个脚本中直接累加。读取存档、重进场景或反复换装不能重复应用增益。角色等级上限首版建议二十。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13 2 FR37 招募与型号角色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招募通过任务或研究解锁具体 CharacterDefinitionId。解锁一个阵营只开放其内容入口，不自动解锁全部型号。不同型号分别保存等级、技能和装备；切换皮肤保留原实例。招募界面显示角色职责和独特技能，避免只有型号名称不同。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P0 先验证同一家两个不同型号拥有独立档案和技能，不要求两套正式模型都已完成。P1 再完成两个阵营各三个型号的可辨认美术，总计六名 AI 角色纳入十二名首版角色预算。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13 3 FR38 购买出售与配发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购买原子扣钱并生成物品；出售原子移除物品并加钱。装备被锁定在行动、生产或其他事务时不能出售。任务物品有用途提示，决定出售前需明确确认。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配发能力不能出售、拆解、转交为普通物品或从地面反复回收。零金币、四人失装与重伤时，仍能获得最低恢复和基础武器能力，进入低危险区域重新获得资源。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13 4 FR39 任务状态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任务包含未接取、进行中、目标满足、可交付、已领取与失败。每个目标声明是否要求撤离、是否要求实物交付及失败保留规则。带回物品只满足交付条件，交付时实际扣除物品并提交唯一 RewardReceipt。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同一事件不能同时被局内 UI 和基地任务系统累计两次。任务奖励领取、角色招募、建筑解锁和资源变更在一个档案事务中完成，失败时不出现只扣物品却未发奖励的中间状态。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i w:val="0"/>
          <w:color w:val="000000"/>
          <w:sz w:val="30"/>
          <w:szCs w:val="30"/>
          <w:b w:val="1"/>
          <w:bCs w:val="1"/>
          <w:lang w:val="en-US" w:eastAsia="zh-CN"/>
        </w:rPr>
        <w:t>14 存档结算与恢复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14 1 FR40 数据分层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只读配置与局内对象分离；BattleSession统一组织4+2编队、入场、单位和目标、暂停、撤离、胜败及重开。CharacterUnit保存命令与战斗状态，Health保存前排/敌方生命，BattleProjectile保存飞行状态；支援不计入前排生命与撤离人数。后续永久存档及奖励收据接入同一会话边界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所有定义与实例使用稳定ID。存档记录 SchemaVersion、ProfileId、最后提交行动、校验值与备份版本。内容改名不改变ID；移除配置时保留兼容映射或隔离提示，不能直接删掉玩家资产。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14 2 FR41 结算幂等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RaidId 是结算唯一键。结果包括角色资格、携带关系、物品位置、消耗、负伤、经验和任务进度。档案事务先检查既有收据；已结算时返回同一份战报，不再次发奖或扣装。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写入采用临时文件、完整校验、原子替换与上一份有效备份。永久档案确认提交后才标记行动完成并清理日志。反复打开结算界面只读取结果，不执行经济变更。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14 3 FR42 P0 中断规则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P0 至少保存基地档案、出发事务、活动行动标记及最终结算。P0 尚未实现完整局内快照时，主动退出显示未撤离后果；异常中断恢复也按未撤离处理，并保留角色与应急再出发能力。该限制必须在测试版本说明和退出界面可见。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加载地图前失败且未进入有效行动时可以回滚出发事务。已进入行动后不能同时恢复带入物品并保留局内所得。若结算已提交但日志未清理，启动时重放既有收据并完成清理。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14 4 FR43 P1 局内继续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局内快照升级为P1要求。快照包括行动编号、随机状态、角色位置与生命、命令、背包、容器已开状态、掉落、敌人状态、技能资源与消耗、携带关系、地图时间和撤离状态。必须在稳定模拟步边界保存。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恢复同一行动不重新生成容器、重置技能或返还已消耗物资。若最新快照损坏，使用同一行动的有效备份；没有可用快照时按公开中断规则处理。完整性校验用于检测损坏，不宣称阻止本地用户改档。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i w:val="0"/>
          <w:color w:val="000000"/>
          <w:sz w:val="30"/>
          <w:szCs w:val="30"/>
          <w:b w:val="1"/>
          <w:bCs w:val="1"/>
          <w:lang w:val="en-US" w:eastAsia="zh-CN"/>
        </w:rPr>
        <w:t>15 数据合同与配置表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15 1 核心记录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100" w:type="dxa"/>
          <w:right w:w="100" w:type="dxa"/>
        </w:tblCellMar>
      </w:tblPr>
      <w:tblGrid>
        <w:gridCol w:w="2126"/>
        <w:gridCol w:w="4876"/>
        <w:gridCol w:w="2636"/>
      </w:tblGrid>
      <w:tr>
        <w:trPr>
          <w:cantSplit/>
          <w:tblHeader/>
        </w:trPr>
        <w:tc>
          <w:tcPr>
            <w:tcW w:type="dxa" w:w="2126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数据</w:t>
            </w:r>
          </w:p>
        </w:tc>
        <w:tc>
          <w:tcPr>
            <w:tcW w:type="dxa" w:w="4876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关键字段</w:t>
            </w:r>
          </w:p>
        </w:tc>
        <w:tc>
          <w:tcPr>
            <w:tcW w:type="dxa" w:w="2636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约束</w:t>
            </w:r>
          </w:p>
        </w:tc>
      </w:tr>
      <w:tr>
        <w:trPr>
          <w:cantSplit/>
        </w:trPr>
        <w:tc>
          <w:tcPr>
            <w:tcW w:type="dxa" w:w="2126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CharacterDefinition</w:t>
            </w:r>
          </w:p>
        </w:tc>
        <w:tc>
          <w:tcPr>
            <w:tcW w:type="dxa" w:w="4876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id、deploymentRole、presentationPrefab、既有技能引用</w:t>
            </w:r>
          </w:p>
        </w:tc>
        <w:tc>
          <w:tcPr>
            <w:tcW w:type="dxa" w:w="2636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只读，角色身份稳定</w:t>
            </w:r>
          </w:p>
        </w:tc>
      </w:tr>
      <w:tr>
        <w:trPr>
          <w:cantSplit/>
        </w:trPr>
        <w:tc>
          <w:tcPr>
            <w:tcW w:type="dxa" w:w="2126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AIIdentity</w:t>
            </w:r>
          </w:p>
        </w:tc>
        <w:tc>
          <w:tcPr>
            <w:tcW w:type="dxa" w:w="4876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provider、family、officialName、version、entryKind、source、verifiedAt</w:t>
            </w:r>
          </w:p>
        </w:tc>
        <w:tc>
          <w:tcPr>
            <w:tcW w:type="dxa" w:w="2636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与角色平衡字段分开</w:t>
            </w:r>
          </w:p>
        </w:tc>
      </w:tr>
      <w:tr>
        <w:trPr>
          <w:cantSplit/>
        </w:trPr>
        <w:tc>
          <w:tcPr>
            <w:tcW w:type="dxa" w:w="2126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CharacterInstance</w:t>
            </w:r>
          </w:p>
        </w:tc>
        <w:tc>
          <w:tcPr>
            <w:tcW w:type="dxa" w:w="4876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instanceId、definitionId、level、xp、skillLevels、equipment、injury</w:t>
            </w:r>
          </w:p>
        </w:tc>
        <w:tc>
          <w:tcPr>
            <w:tcW w:type="dxa" w:w="2636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独立于场景实体</w:t>
            </w:r>
          </w:p>
        </w:tc>
      </w:tr>
      <w:tr>
        <w:trPr>
          <w:cantSplit/>
        </w:trPr>
        <w:tc>
          <w:tcPr>
            <w:tcW w:type="dxa" w:w="2126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CharacterUnit 命令状态</w:t>
            </w:r>
          </w:p>
        </w:tc>
        <w:tc>
          <w:tcPr>
            <w:tcW w:type="dxa" w:w="4876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当前为单位内枚举、目标及落点；后续按需扩展队列和编号</w:t>
            </w:r>
          </w:p>
        </w:tc>
        <w:tc>
          <w:tcPr>
            <w:tcW w:type="dxa" w:w="2636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不单建UnitCommand；不混入表现层</w:t>
            </w:r>
          </w:p>
        </w:tc>
      </w:tr>
      <w:tr>
        <w:trPr>
          <w:cantSplit/>
        </w:trPr>
        <w:tc>
          <w:tcPr>
            <w:tcW w:type="dxa" w:w="2126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CoverSlot</w:t>
            </w:r>
          </w:p>
        </w:tc>
        <w:tc>
          <w:tcPr>
            <w:tcW w:type="dxa" w:w="4876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slotId、hidePoint、firePoints、normal、posture、token</w:t>
            </w:r>
          </w:p>
        </w:tc>
        <w:tc>
          <w:tcPr>
            <w:tcW w:type="dxa" w:w="2636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一槽一个有效占用</w:t>
            </w:r>
          </w:p>
        </w:tc>
      </w:tr>
      <w:tr>
        <w:trPr>
          <w:cantSplit/>
        </w:trPr>
        <w:tc>
          <w:tcPr>
            <w:tcW w:type="dxa" w:w="2126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ItemInstance</w:t>
            </w:r>
          </w:p>
        </w:tc>
        <w:tc>
          <w:tcPr>
            <w:tcW w:type="dxa" w:w="4876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itemId、definitionId、count、location、owner、magazine</w:t>
            </w:r>
          </w:p>
        </w:tc>
        <w:tc>
          <w:tcPr>
            <w:tcW w:type="dxa" w:w="2636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位置唯一，数量非负</w:t>
            </w:r>
          </w:p>
        </w:tc>
      </w:tr>
      <w:tr>
        <w:trPr>
          <w:cantSplit/>
        </w:trPr>
        <w:tc>
          <w:tcPr>
            <w:tcW w:type="dxa" w:w="2126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SkillRuntime</w:t>
            </w:r>
          </w:p>
        </w:tc>
        <w:tc>
          <w:tcPr>
            <w:tcW w:type="dxa" w:w="4876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caster、skill、reservedCost、cooldown、commitId</w:t>
            </w:r>
          </w:p>
        </w:tc>
        <w:tc>
          <w:tcPr>
            <w:tcW w:type="dxa" w:w="2636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EX逻辑由单位统一推进；费用预留后续接入</w:t>
            </w:r>
          </w:p>
        </w:tc>
      </w:tr>
      <w:tr>
        <w:trPr>
          <w:cantSplit/>
        </w:trPr>
        <w:tc>
          <w:tcPr>
            <w:tcW w:type="dxa" w:w="2126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BattleSession 扩展状态</w:t>
            </w:r>
          </w:p>
        </w:tc>
        <w:tc>
          <w:tcPr>
            <w:tcW w:type="dxa" w:w="4876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raidId、phase、seed、simTime、units、containers、loot</w:t>
            </w:r>
          </w:p>
        </w:tc>
        <w:tc>
          <w:tcPr>
            <w:tcW w:type="dxa" w:w="2636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本次管理单位与简单撤离生命周期；后续接入完整行动与经济结算</w:t>
            </w:r>
          </w:p>
        </w:tc>
      </w:tr>
      <w:tr>
        <w:trPr>
          <w:cantSplit/>
        </w:trPr>
        <w:tc>
          <w:tcPr>
            <w:tcW w:type="dxa" w:w="2126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Settlement</w:t>
            </w:r>
          </w:p>
        </w:tc>
        <w:tc>
          <w:tcPr>
            <w:tcW w:type="dxa" w:w="4876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raidId、eligibleUnits、itemChanges、xp、injuries、receipts</w:t>
            </w:r>
          </w:p>
        </w:tc>
        <w:tc>
          <w:tcPr>
            <w:tcW w:type="dxa" w:w="2636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冻结后只读</w:t>
            </w:r>
          </w:p>
        </w:tc>
      </w:tr>
      <w:tr>
        <w:trPr>
          <w:cantSplit/>
        </w:trPr>
        <w:tc>
          <w:tcPr>
            <w:tcW w:type="dxa" w:w="2126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BuildingInstance</w:t>
            </w:r>
          </w:p>
        </w:tc>
        <w:tc>
          <w:tcPr>
            <w:tcW w:type="dxa" w:w="4876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id、definition、grid、rotation、level、jobs</w:t>
            </w:r>
          </w:p>
        </w:tc>
        <w:tc>
          <w:tcPr>
            <w:tcW w:type="dxa" w:w="2636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搬移不复制实例</w:t>
            </w:r>
          </w:p>
        </w:tc>
      </w:tr>
      <w:tr>
        <w:trPr>
          <w:cantSplit/>
        </w:trPr>
        <w:tc>
          <w:tcPr>
            <w:tcW w:type="dxa" w:w="2126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PlayerProfile</w:t>
            </w:r>
          </w:p>
        </w:tc>
        <w:tc>
          <w:tcPr>
            <w:tcW w:type="dxa" w:w="4876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schema、roster、stash、base、quests、receipts</w:t>
            </w:r>
          </w:p>
        </w:tc>
        <w:tc>
          <w:tcPr>
            <w:tcW w:type="dxa" w:w="2636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唯一永久事务入口</w:t>
            </w:r>
          </w:p>
        </w:tc>
      </w:tr>
    </w:tbl>
    <w:p>
      <w:pPr>
        <w:spacing w:before="0" w:after="40" w:line="40" w:lineRule="exact"/>
      </w:pPr>
      <w:r>
        <w:rPr>
          <w:rFonts w:ascii="Noto Sans CJK SC" w:hAnsi="Noto Sans CJK SC" w:eastAsia="Noto Sans CJK SC" w:cs="Noto Sans CJK SC"/>
          <w:i w:val="0"/>
          <w:color w:val="000000"/>
          <w:sz w:val="4"/>
          <w:szCs w:val="4"/>
          <w:b w:val="0"/>
          <w:bCs w:val="0"/>
          <w:lang w:val="en-US" w:eastAsia="zh-CN"/>
        </w:rPr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15 2 事件与接口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当前SquadInput向CharacterUnit下达枚举命令或EX请求，BattleSession统一Tick单位与BattleProjectile，逻辑结果写入Health并驱动CharacterCombat/BACharacterPresentation表现。后续再增加CommandAccepted/Failed/Completed、库存和结算事件；事件只报告结果，不再次执行同一次伤害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事件携带 RaidId、主体ID和唯一事件ID。UI 读取事件形成反馈，不能在显示动画结束后再次修改物品或经验。异步资源和路径完成后校验目标仍存活、命令仍有效、行动未结束，再应用结果。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15 3 原型配置基线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100" w:type="dxa"/>
          <w:right w:w="100" w:type="dxa"/>
        </w:tblCellMar>
      </w:tblPr>
      <w:tblGrid>
        <w:gridCol w:w="1871"/>
        <w:gridCol w:w="3515"/>
        <w:gridCol w:w="4252"/>
      </w:tblGrid>
      <w:tr>
        <w:trPr>
          <w:cantSplit/>
          <w:tblHeader/>
        </w:trPr>
        <w:tc>
          <w:tcPr>
            <w:tcW w:type="dxa" w:w="1871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参数</w:t>
            </w:r>
          </w:p>
        </w:tc>
        <w:tc>
          <w:tcPr>
            <w:tcW w:type="dxa" w:w="3515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初值</w:t>
            </w:r>
          </w:p>
        </w:tc>
        <w:tc>
          <w:tcPr>
            <w:tcW w:type="dxa" w:w="4252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调参目的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完整首版地图时限</w:t>
            </w:r>
          </w:p>
        </w:tc>
        <w:tc>
          <w:tcPr>
            <w:tcW w:type="dxa" w:w="351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二十分钟</w:t>
            </w:r>
          </w:p>
        </w:tc>
        <w:tc>
          <w:tcPr>
            <w:tcW w:type="dxa" w:w="4252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验证收益与回撤压力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灰盒时长</w:t>
            </w:r>
          </w:p>
        </w:tc>
        <w:tc>
          <w:tcPr>
            <w:tcW w:type="dxa" w:w="351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八至十二分钟</w:t>
            </w:r>
          </w:p>
        </w:tc>
        <w:tc>
          <w:tcPr>
            <w:tcW w:type="dxa" w:w="4252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缩短验证循环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撤离读条</w:t>
            </w:r>
          </w:p>
        </w:tc>
        <w:tc>
          <w:tcPr>
            <w:tcW w:type="dxa" w:w="351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八秒</w:t>
            </w:r>
          </w:p>
        </w:tc>
        <w:tc>
          <w:tcPr>
            <w:tcW w:type="dxa" w:w="4252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形成可防守的最后风险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倒地计时与扶起</w:t>
            </w:r>
          </w:p>
        </w:tc>
        <w:tc>
          <w:tcPr>
            <w:tcW w:type="dxa" w:w="351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六十秒与五秒</w:t>
            </w:r>
          </w:p>
        </w:tc>
        <w:tc>
          <w:tcPr>
            <w:tcW w:type="dxa" w:w="4252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验证救援选择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指挥资源</w:t>
            </w:r>
          </w:p>
        </w:tc>
        <w:tc>
          <w:tcPr>
            <w:tcW w:type="dxa" w:w="351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上限十，初始四，每四秒加一</w:t>
            </w:r>
          </w:p>
        </w:tc>
        <w:tc>
          <w:tcPr>
            <w:tcW w:type="dxa" w:w="4252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技能时机取舍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普通背包</w:t>
            </w:r>
          </w:p>
        </w:tc>
        <w:tc>
          <w:tcPr>
            <w:tcW w:type="dxa" w:w="351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十二格</w:t>
            </w:r>
          </w:p>
        </w:tc>
        <w:tc>
          <w:tcPr>
            <w:tcW w:type="dxa" w:w="4252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物资选择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基础承重</w:t>
            </w:r>
          </w:p>
        </w:tc>
        <w:tc>
          <w:tcPr>
            <w:tcW w:type="dxa" w:w="351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二十千克，硬上限一点二倍</w:t>
            </w:r>
          </w:p>
        </w:tc>
        <w:tc>
          <w:tcPr>
            <w:tcW w:type="dxa" w:w="4252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机动与收益取舍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交接</w:t>
            </w:r>
          </w:p>
        </w:tc>
        <w:tc>
          <w:tcPr>
            <w:tcW w:type="dxa" w:w="351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两米，一秒</w:t>
            </w:r>
          </w:p>
        </w:tc>
        <w:tc>
          <w:tcPr>
            <w:tcW w:type="dxa" w:w="4252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保留物理分队意义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主战感知与战术评估</w:t>
            </w:r>
          </w:p>
        </w:tc>
        <w:tc>
          <w:tcPr>
            <w:tcW w:type="dxa" w:w="351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建议每秒五至十次</w:t>
            </w:r>
          </w:p>
        </w:tc>
        <w:tc>
          <w:tcPr>
            <w:tcW w:type="dxa" w:w="4252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在反应与性能间测量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掩体重评</w:t>
            </w:r>
          </w:p>
        </w:tc>
        <w:tc>
          <w:tcPr>
            <w:tcW w:type="dxa" w:w="351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建议每秒二至四次及关键事件触发</w:t>
            </w:r>
          </w:p>
        </w:tc>
        <w:tc>
          <w:tcPr>
            <w:tcW w:type="dxa" w:w="4252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减少无意义扫描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普通目标保持</w:t>
            </w:r>
          </w:p>
        </w:tc>
        <w:tc>
          <w:tcPr>
            <w:tcW w:type="dxa" w:w="351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零点四秒</w:t>
            </w:r>
          </w:p>
        </w:tc>
        <w:tc>
          <w:tcPr>
            <w:tcW w:type="dxa" w:w="4252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避免频繁换目标</w:t>
            </w:r>
          </w:p>
        </w:tc>
      </w:tr>
    </w:tbl>
    <w:p>
      <w:pPr>
        <w:spacing w:before="0" w:after="40" w:line="40" w:lineRule="exact"/>
      </w:pPr>
      <w:r>
        <w:rPr>
          <w:rFonts w:ascii="Noto Sans CJK SC" w:hAnsi="Noto Sans CJK SC" w:eastAsia="Noto Sans CJK SC" w:cs="Noto Sans CJK SC"/>
          <w:i w:val="0"/>
          <w:color w:val="000000"/>
          <w:sz w:val="4"/>
          <w:szCs w:val="4"/>
          <w:b w:val="0"/>
          <w:bCs w:val="0"/>
          <w:lang w:val="en-US" w:eastAsia="zh-CN"/>
        </w:rPr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表内长期搜打撤数值属于后续阶段的配置建议，不替代当前 Demo 的 3 米撤离圈和连续停稳 3 秒规则。本次使用四人战斗、移动、生命、既有技能与简单撤离参数；伤害测试值不宣称为原作平衡。每次验收记录实际配置与代码版本。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i w:val="0"/>
          <w:color w:val="000000"/>
          <w:sz w:val="30"/>
          <w:szCs w:val="30"/>
          <w:b w:val="1"/>
          <w:bCs w:val="1"/>
          <w:lang w:val="en-US" w:eastAsia="zh-CN"/>
        </w:rPr>
        <w:t>16 性能可维护性与调试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16 1 NFR01 目标设备与测量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本次性能记录覆盖四名前排、两名Special入场与技能及静态Health目标，需记录设备、分辨率、画质、帧时间和EX高峰。后续再测试三十活动敌人等完整负载；已有功能运行验证不等于完成性能验收。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记录帧时间分布与明显卡顿次数，不能只报平均帧率。稳定战斗主逻辑目标为零持续性每帧托管分配，临时操作按实际频率评估。技能高峰与连续开箱场景单独观察，不能只测空地图。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16 2 NFR02 调度与对象生命周期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集中管理单位决策调度，错开感知和掩体评估，避免每个单位每帧扫描全部敌人。移动和表现可以按实际组件需求更新，不能机械地把所有代码塞进一个总脚本。使用空间索引缩小候选，射线和路径请求设置预算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投射物、命中特效、浮字和掉落表现按需池化。退出地图时取消任务、释放订阅、清空预约和会话资源。角色动画、SkinnedMesh、材质数量和透明叠加与脚本开销一起测量。是否采用 DOTS 由已测瓶颈决定，不作为本方案默认重构前提。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16 3 NFR03 调试可解释性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当前采用原版素材uGUI与3D站立编队：选槽、同组换位、前排3D拖拽及原提起/放下动画、提起语音已接入。战场右下以原斜卡素材横排显示6张技能入口，F1至F4对应前排，F5/F6对应支援；前排生命显示为4段血条。这是技能入口与状态显示，不是原版COST牌库。同时显示前排选择、状态和撤离进度；临战支持先选前排再F6绑定。后续扩展路径、掩体评分与追击诊断，当前界面不等同完整原版功能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Player_GameDev.unity回归覆盖4+2编队与入场、四名前排战斗和指令覆盖、两支援技能、暂停、3秒撤离及胜败。本轮2026年10月28日另完成10资源形态动画切换的采样、关键帧核对与视觉复看，Play复查Console无警告或错误；范围见FR21。此前已运行验证编队换位、六人入场、女仆炮击、临战绑定后一次EX与撤离胜利；四名前排Vital_Death姿势及DEFEAT、支援技能后外层root在场外隐藏均已实测正确。临战支持第二、第三次效果尚未验证，直升机救援仍未证实；完整原版UI、COST牌库、搜打撤经济闭环仍未交付。保留进出圈/再移动清零、刹车停稳、暂停/EX冻结、不清敌可撤离及清敌不胜利的专项检查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16 4 NFR04 内容校验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构建前检查重复ID、无效技能引用、缺模型、缺动作、非法建筑尺寸、负数费用、循环前置和无法满足的任务材料来源。型号角色的官方目录字段与游戏属性表分别验证。配置失败时提供资源名与具体字段。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i w:val="0"/>
          <w:color w:val="000000"/>
          <w:sz w:val="30"/>
          <w:szCs w:val="30"/>
          <w:b w:val="1"/>
          <w:bCs w:val="1"/>
          <w:lang w:val="en-US" w:eastAsia="zh-CN"/>
        </w:rPr>
        <w:t>17 三维模型检索与美术制作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17 1 B 站设定来源与核实状态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AI 拟人角色优先依据 B 站相关设定制作。具体作者、作品和设计版本尚待逐项选定；下列来源用于追溯原设及核对资源，不构成最终形象名单。ZipZipPipe 的作品是成套原设追溯入口，具体角色版本仍需逐项核对后确定。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截至2026年10月27日，已区分具体型号形象、三维配布线索和外观匹配三个状态。形象展示不能直接计为三维资产；有配布说明也不表示该模型与目标版本一致。当前来源仅完成网页信息核对，未下载导入或验证战斗动作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100" w:type="dxa"/>
          <w:right w:w="100" w:type="dxa"/>
        </w:tblCellMar>
      </w:tblPr>
      <w:tblGrid>
        <w:gridCol w:w="2041"/>
        <w:gridCol w:w="3628"/>
        <w:gridCol w:w="3969"/>
      </w:tblGrid>
      <w:tr>
        <w:trPr>
          <w:cantSplit/>
          <w:tblHeader/>
        </w:trPr>
        <w:tc>
          <w:tcPr>
            <w:tcW w:type="dxa" w:w="2041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来源</w:t>
            </w:r>
          </w:p>
        </w:tc>
        <w:tc>
          <w:tcPr>
            <w:tcW w:type="dxa" w:w="3628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已核实内容</w:t>
            </w:r>
          </w:p>
        </w:tc>
        <w:tc>
          <w:tcPr>
            <w:tcW w:type="dxa" w:w="3969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三维配布与匹配状态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ZipZipPipe《大AI和小AI们》</w:t>
            </w:r>
          </w:p>
        </w:tc>
        <w:tc>
          <w:tcPr>
            <w:tcW w:type="dxa" w:w="3628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成套 AI 拟人原设追溯入口 [A1]</w:t>
            </w:r>
          </w:p>
        </w:tc>
        <w:tc>
          <w:tcPr>
            <w:tcW w:type="dxa" w:w="3969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具体作者版本待选；不据此认定有成套可用三维模型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这个刀子真甜的 Flash 视频</w:t>
            </w:r>
          </w:p>
        </w:tc>
        <w:tc>
          <w:tcPr>
            <w:tcW w:type="dxa" w:w="3628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标题明确对应 V4 Flash，已有具体型号形象证据 [A2]</w:t>
            </w:r>
          </w:p>
        </w:tc>
        <w:tc>
          <w:tcPr>
            <w:tcW w:type="dxa" w:w="3969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未核到对应三维配布；外观版本待选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这个刀子真甜的 Pro 小公主视频</w:t>
            </w:r>
          </w:p>
        </w:tc>
        <w:tc>
          <w:tcPr>
            <w:tcW w:type="dxa" w:w="3628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标题明确对应 V4 Pro，已有具体型号形象证据 [A3]</w:t>
            </w:r>
          </w:p>
        </w:tc>
        <w:tc>
          <w:tcPr>
            <w:tcW w:type="dxa" w:w="3969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未核到对应三维配布；外观版本待选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水原镜 MMD 配布</w:t>
            </w:r>
          </w:p>
        </w:tc>
        <w:tc>
          <w:tcPr>
            <w:tcW w:type="dxa" w:w="3628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简介列原设 ZipZipPipe 与上善无形，建模水原镜，转换绑定耶栗 Yaki；下载在评论 [A4]</w:t>
            </w:r>
          </w:p>
        </w:tc>
        <w:tc>
          <w:tcPr>
            <w:tcW w:type="dxa" w:w="3969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有配布说明；未核实与上述具体版本的外观匹配，不计为已入选资产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年轻果酱 GPT 白龙娘</w:t>
            </w:r>
          </w:p>
        </w:tc>
        <w:tc>
          <w:tcPr>
            <w:tcW w:type="dxa" w:w="3628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GMod 工坊标题含 ChatGpt6-Astra；作者称自制模型，含43个表情 [A5]</w:t>
            </w:r>
          </w:p>
        </w:tc>
        <w:tc>
          <w:tcPr>
            <w:tcW w:type="dxa" w:w="3969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有具体三维发布线索；原设匹配、下载状态、源格式和游戏用途待核实</w:t>
            </w:r>
          </w:p>
        </w:tc>
      </w:tr>
    </w:tbl>
    <w:p>
      <w:pPr>
        <w:spacing w:before="0" w:after="40" w:line="40" w:lineRule="exact"/>
      </w:pPr>
      <w:r>
        <w:rPr>
          <w:rFonts w:ascii="Noto Sans CJK SC" w:hAnsi="Noto Sans CJK SC" w:eastAsia="Noto Sans CJK SC" w:cs="Noto Sans CJK SC"/>
          <w:i w:val="0"/>
          <w:color w:val="000000"/>
          <w:sz w:val="4"/>
          <w:szCs w:val="4"/>
          <w:b w:val="0"/>
          <w:bCs w:val="0"/>
          <w:lang w:val="en-US" w:eastAsia="zh-CN"/>
        </w:rPr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GPT 白龙娘的公开工坊发布页与订阅入口已核实，尚未实际取得模型文件；源格式、移植用途与 Unity 适配待核实。橙发 Claude、Gemini、Kimi 与 Qwen 的对应设定，本轮尚未完成成套可用三维配布核实；先按后续选定原设预留自建工作，取得匹配资产后再更新记录。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上一轮其他形象不再作为默认推荐，也不因已有文件或技术上可导入而自动沿用。模型库的同名角色需核对身份；介绍“用某个 AI 制作模型”的网页不等于提供该 AI 拟人角色的模型。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17 2 FR44 资源准入记录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每个模型记录 AssetId、作者、原始发布URL、获取日期、文件格式、版本、原始条款、可修改和游戏使用范围、骨架、面数、材质、贴图、动作与测试结果。目标形象另记 B 站作者、作品URL或BV号、画面时间段或设定版本、对应角色与具体型号。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三维资源证据与形象匹配分别记录。前者区分展示、配布说明、取得文件与导入验证；后者区分未核对、匹配、部分匹配和不匹配，并记录核对依据。作者版本尚未选定时保持待选，不能凭模型存在就标记形象通过。下载入口未核验的资源不计入已获得素材数量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发布页明示禁止战斗表现的资源不得进入本作战斗角色资产集。许可未知只标为待核验，不能自动填允许。代码仓库许可与随仓库提供的角色、贴图和动作条款分别记录。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17 3 FR45 Unity 适配检查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导入候选需检查比例、朝向、骨骼映射、关节权重、材质与URP表现、贴图缺失、开火挂点、碰撞体、表情、头发尾巴动态和对象层级。VRM等来源通过适配流程转为项目可管理资源，不能假定导入后直接拥有射击与掩体动作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至少验证待机、跑动、转向、持枪、开火、受击、倒地与一个主动技能；探身和搬运可先用降级表现。原型建议每角色一至两个主要蒙皮网格、少量材质、可关闭次要动态骨，但具体面数与贴图预算由目标设备测量后决定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17 4 FR46 型号差异美术要求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同厂商不同型号各有独立角色定义和外观方案，正式形象需符合选定的 B 站设定版本。允许共用骨架、基础动作、部分服装结构与材质技术，但必须在实战镜头下保持可辨认差异。差异来自原设或明确登记的本项目衍生设计，不能凭空补作原作者设定；仅换名称和衣服数字不能通过正式角色验收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角色资产包包含设定出处与版本、正侧背设定、模型、贴图、骨骼、动作映射、头像、技能图标、表现清单和来源记录。品牌级原设未细分型号时，标明本项目补充的部分。美术资产与游戏型号身份独立映射，替换模型不会改变角色存档ID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17 5 自建触发与工作顺序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先锁定目标原设，再判断是否有匹配的三维资源。找不到匹配资产、使用条件与战斗用途冲突或修整工作高于重做时，转入自建路线；有其他同品牌模型也不自动替换目标形象。具体版本未选定前，保留自建工作量，不擅自确定外观细节。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自建按设定整理与三视图、低模与拓扑、UV与贴图、骨骼权重、基础动作重定向、枪械挂点、掩体与携带验证、头像和技能特效推进。比例与BA现有小人适配，可复用通过验证的骨架和动作。生成的静态网格或立绘只能覆盖部分环节，不能作为可战斗角色直接验收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17 6 设定与配布来源</w:t>
      </w:r>
    </w:p>
    <w:p>
      <w:pPr>
        <w:spacing w:after="100"/>
      </w:pPr>
      <w:r>
        <w:rPr>
          <w:rFonts w:ascii="Noto Sans CJK SC" w:hAnsi="Noto Sans CJK SC" w:eastAsia="Noto Sans CJK SC" w:cs="Noto Sans CJK SC"/>
          <w:i w:val="0"/>
          <w:color w:val="000000"/>
          <w:sz w:val="19"/>
          <w:szCs w:val="19"/>
          <w:b w:val="0"/>
          <w:bCs w:val="0"/>
          <w:lang w:val="en-US" w:eastAsia="zh-CN"/>
        </w:rPr>
        <w:t>[A1] ZipZipPipe《大AI和小AI们》，成套原设追溯入口。</w:t>
      </w:r>
      <w:hyperlink r:id="rId11">
        <w:r>
          <w:rPr>
            <w:rFonts w:ascii="Noto Sans CJK SC" w:hAnsi="Noto Sans CJK SC" w:eastAsia="Noto Sans CJK SC" w:cs="Noto Sans CJK SC"/>
            <w:color w:val="000000"/>
            <w:sz w:val="21"/>
            <w:szCs w:val="21"/>
            <w:b w:val="0"/>
            <w:bCs w:val="0"/>
            <w:lang w:val="en-US" w:eastAsia="zh-CN"/>
            <w:u w:val="single"/>
          </w:rPr>
          <w:t>打开来源</w:t>
        </w:r>
      </w:hyperlink>
    </w:p>
    <w:p>
      <w:pPr>
        <w:spacing w:after="100"/>
      </w:pPr>
      <w:r>
        <w:rPr>
          <w:rFonts w:ascii="Noto Sans CJK SC" w:hAnsi="Noto Sans CJK SC" w:eastAsia="Noto Sans CJK SC" w:cs="Noto Sans CJK SC"/>
          <w:i w:val="0"/>
          <w:color w:val="000000"/>
          <w:sz w:val="19"/>
          <w:szCs w:val="19"/>
          <w:b w:val="0"/>
          <w:bCs w:val="0"/>
          <w:lang w:val="en-US" w:eastAsia="zh-CN"/>
        </w:rPr>
        <w:t>[A2] 这个刀子真甜的 Flash 视频，标题明确 V4 Flash。</w:t>
      </w:r>
      <w:hyperlink r:id="rId12">
        <w:r>
          <w:rPr>
            <w:rFonts w:ascii="Noto Sans CJK SC" w:hAnsi="Noto Sans CJK SC" w:eastAsia="Noto Sans CJK SC" w:cs="Noto Sans CJK SC"/>
            <w:color w:val="000000"/>
            <w:sz w:val="21"/>
            <w:szCs w:val="21"/>
            <w:b w:val="0"/>
            <w:bCs w:val="0"/>
            <w:lang w:val="en-US" w:eastAsia="zh-CN"/>
            <w:u w:val="single"/>
          </w:rPr>
          <w:t>打开来源</w:t>
        </w:r>
      </w:hyperlink>
    </w:p>
    <w:p>
      <w:pPr>
        <w:spacing w:after="100"/>
      </w:pPr>
      <w:r>
        <w:rPr>
          <w:rFonts w:ascii="Noto Sans CJK SC" w:hAnsi="Noto Sans CJK SC" w:eastAsia="Noto Sans CJK SC" w:cs="Noto Sans CJK SC"/>
          <w:i w:val="0"/>
          <w:color w:val="000000"/>
          <w:sz w:val="19"/>
          <w:szCs w:val="19"/>
          <w:b w:val="0"/>
          <w:bCs w:val="0"/>
          <w:lang w:val="en-US" w:eastAsia="zh-CN"/>
        </w:rPr>
        <w:t>[A3] 这个刀子真甜的 Pro 小公主视频，标题明确 V4 Pro。</w:t>
      </w:r>
      <w:hyperlink r:id="rId13">
        <w:r>
          <w:rPr>
            <w:rFonts w:ascii="Noto Sans CJK SC" w:hAnsi="Noto Sans CJK SC" w:eastAsia="Noto Sans CJK SC" w:cs="Noto Sans CJK SC"/>
            <w:color w:val="000000"/>
            <w:sz w:val="21"/>
            <w:szCs w:val="21"/>
            <w:b w:val="0"/>
            <w:bCs w:val="0"/>
            <w:lang w:val="en-US" w:eastAsia="zh-CN"/>
            <w:u w:val="single"/>
          </w:rPr>
          <w:t>打开来源</w:t>
        </w:r>
      </w:hyperlink>
    </w:p>
    <w:p>
      <w:pPr>
        <w:spacing w:after="100"/>
      </w:pPr>
      <w:r>
        <w:rPr>
          <w:rFonts w:ascii="Noto Sans CJK SC" w:hAnsi="Noto Sans CJK SC" w:eastAsia="Noto Sans CJK SC" w:cs="Noto Sans CJK SC"/>
          <w:i w:val="0"/>
          <w:color w:val="000000"/>
          <w:sz w:val="19"/>
          <w:szCs w:val="19"/>
          <w:b w:val="0"/>
          <w:bCs w:val="0"/>
          <w:lang w:val="en-US" w:eastAsia="zh-CN"/>
        </w:rPr>
        <w:t>[A4] 水原镜的 MMD 配布视频，原设与制作人员见简介，配布入口在评论。</w:t>
      </w:r>
      <w:hyperlink r:id="rId14">
        <w:r>
          <w:rPr>
            <w:rFonts w:ascii="Noto Sans CJK SC" w:hAnsi="Noto Sans CJK SC" w:eastAsia="Noto Sans CJK SC" w:cs="Noto Sans CJK SC"/>
            <w:color w:val="000000"/>
            <w:sz w:val="21"/>
            <w:szCs w:val="21"/>
            <w:b w:val="0"/>
            <w:bCs w:val="0"/>
            <w:lang w:val="en-US" w:eastAsia="zh-CN"/>
            <w:u w:val="single"/>
          </w:rPr>
          <w:t>打开来源</w:t>
        </w:r>
      </w:hyperlink>
    </w:p>
    <w:p>
      <w:pPr>
        <w:spacing w:after="100"/>
      </w:pPr>
      <w:r>
        <w:rPr>
          <w:rFonts w:ascii="Noto Sans CJK SC" w:hAnsi="Noto Sans CJK SC" w:eastAsia="Noto Sans CJK SC" w:cs="Noto Sans CJK SC"/>
          <w:i w:val="0"/>
          <w:color w:val="000000"/>
          <w:sz w:val="19"/>
          <w:szCs w:val="19"/>
          <w:b w:val="0"/>
          <w:bCs w:val="0"/>
          <w:lang w:val="en-US" w:eastAsia="zh-CN"/>
        </w:rPr>
        <w:t>[A5] 年轻果酱的 [PM/Npc]ChatGpt6-Astra（Humanoid）GMod 工坊发布页。</w:t>
      </w:r>
      <w:hyperlink r:id="rId15">
        <w:r>
          <w:rPr>
            <w:rFonts w:ascii="Noto Sans CJK SC" w:hAnsi="Noto Sans CJK SC" w:eastAsia="Noto Sans CJK SC" w:cs="Noto Sans CJK SC"/>
            <w:color w:val="000000"/>
            <w:sz w:val="21"/>
            <w:szCs w:val="21"/>
            <w:b w:val="0"/>
            <w:bCs w:val="0"/>
            <w:lang w:val="en-US" w:eastAsia="zh-CN"/>
            <w:u w:val="single"/>
          </w:rPr>
          <w:t>打开来源</w:t>
        </w:r>
      </w:hyperlink>
    </w:p>
    <w:p>
      <w:pPr>
        <w:pStyle w:val="Heading1"/>
      </w:pPr>
      <w:r>
        <w:rPr>
          <w:rFonts w:ascii="Noto Sans CJK SC" w:hAnsi="Noto Sans CJK SC" w:eastAsia="Noto Sans CJK SC" w:cs="Noto Sans CJK SC"/>
          <w:i w:val="0"/>
          <w:color w:val="000000"/>
          <w:sz w:val="30"/>
          <w:szCs w:val="30"/>
          <w:b w:val="1"/>
          <w:bCs w:val="1"/>
          <w:lang w:val="en-US" w:eastAsia="zh-CN"/>
        </w:rPr>
        <w:t>18 验收用例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下表保留长期跨系统验收集合，不表示本次 Demo 全部实现或通过。本次仅验收第19章第一阶段列出的行为；其余用例在对应功能进入 M0/P0/P1 后执行。配置文件存在、代码编译或静态截图不能代替运行行为证据。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100" w:type="dxa"/>
          <w:right w:w="100" w:type="dxa"/>
        </w:tblCellMar>
      </w:tblPr>
      <w:tblGrid>
        <w:gridCol w:w="737"/>
        <w:gridCol w:w="1389"/>
        <w:gridCol w:w="3487"/>
        <w:gridCol w:w="4025"/>
      </w:tblGrid>
      <w:tr>
        <w:trPr>
          <w:cantSplit/>
          <w:tblHeader/>
        </w:trPr>
        <w:tc>
          <w:tcPr>
            <w:tcW w:type="dxa" w:w="737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编号</w:t>
            </w:r>
          </w:p>
        </w:tc>
        <w:tc>
          <w:tcPr>
            <w:tcW w:type="dxa" w:w="1389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对应要求</w:t>
            </w:r>
          </w:p>
        </w:tc>
        <w:tc>
          <w:tcPr>
            <w:tcW w:type="dxa" w:w="3487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操作与条件</w:t>
            </w:r>
          </w:p>
        </w:tc>
        <w:tc>
          <w:tcPr>
            <w:tcW w:type="dxa" w:w="4025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通过标准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AT01</w:t>
            </w:r>
          </w:p>
        </w:tc>
        <w:tc>
          <w:tcPr>
            <w:tcW w:type="dxa" w:w="1389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FR04 FR07</w:t>
            </w:r>
          </w:p>
        </w:tc>
        <w:tc>
          <w:tcPr>
            <w:tcW w:type="dxa" w:w="3487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编成四主战两支援，框选全场</w:t>
            </w:r>
          </w:p>
        </w:tc>
        <w:tc>
          <w:tcPr>
            <w:tcW w:type="dxa" w:w="402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只选择四名主战，支援不生成导航或背包实体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AT02</w:t>
            </w:r>
          </w:p>
        </w:tc>
        <w:tc>
          <w:tcPr>
            <w:tcW w:type="dxa" w:w="1389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FR07 FR08</w:t>
            </w:r>
          </w:p>
        </w:tc>
        <w:tc>
          <w:tcPr>
            <w:tcW w:type="dxa" w:w="3487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拖动物品时鼠标经过战场并松开</w:t>
            </w:r>
          </w:p>
        </w:tc>
        <w:tc>
          <w:tcPr>
            <w:tcW w:type="dxa" w:w="402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不发出移动命令或框选角色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AT03</w:t>
            </w:r>
          </w:p>
        </w:tc>
        <w:tc>
          <w:tcPr>
            <w:tcW w:type="dxa" w:w="1389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FR10 FR11</w:t>
            </w:r>
          </w:p>
        </w:tc>
        <w:tc>
          <w:tcPr>
            <w:tcW w:type="dxa" w:w="3487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角色正在攻击，右键远处地面</w:t>
            </w:r>
          </w:p>
        </w:tc>
        <w:tc>
          <w:tcPr>
            <w:tcW w:type="dxa" w:w="402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下一个决策周期接受移动，途中不为敌人停步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AT04</w:t>
            </w:r>
          </w:p>
        </w:tc>
        <w:tc>
          <w:tcPr>
            <w:tcW w:type="dxa" w:w="1389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FR11</w:t>
            </w:r>
          </w:p>
        </w:tc>
        <w:tc>
          <w:tcPr>
            <w:tcW w:type="dxa" w:w="3487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攻击移动途中遇敌，清除敌人</w:t>
            </w:r>
          </w:p>
        </w:tc>
        <w:tc>
          <w:tcPr>
            <w:tcW w:type="dxa" w:w="402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两秒无合法目标后继续原路线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AT05</w:t>
            </w:r>
          </w:p>
        </w:tc>
        <w:tc>
          <w:tcPr>
            <w:tcW w:type="dxa" w:w="1389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FR13 FR17</w:t>
            </w:r>
          </w:p>
        </w:tc>
        <w:tc>
          <w:tcPr>
            <w:tcW w:type="dxa" w:w="3487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指定敌人躲到墙后并移动</w:t>
            </w:r>
          </w:p>
        </w:tc>
        <w:tc>
          <w:tcPr>
            <w:tcW w:type="dxa" w:w="402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只使用最后已知点，超时结束，不追随隐藏坐标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AT06</w:t>
            </w:r>
          </w:p>
        </w:tc>
        <w:tc>
          <w:tcPr>
            <w:tcW w:type="dxa" w:w="1389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FR11</w:t>
            </w:r>
          </w:p>
        </w:tc>
        <w:tc>
          <w:tcPr>
            <w:tcW w:type="dxa" w:w="3487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防守角色旁一点五米外有更好掩体</w:t>
            </w:r>
          </w:p>
        </w:tc>
        <w:tc>
          <w:tcPr>
            <w:tcW w:type="dxa" w:w="402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不越过防守范围擅自换位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AT07</w:t>
            </w:r>
          </w:p>
        </w:tc>
        <w:tc>
          <w:tcPr>
            <w:tcW w:type="dxa" w:w="1389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FR12</w:t>
            </w:r>
          </w:p>
        </w:tc>
        <w:tc>
          <w:tcPr>
            <w:tcW w:type="dxa" w:w="3487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静默受伤，再给一人指定攻击</w:t>
            </w:r>
          </w:p>
        </w:tc>
        <w:tc>
          <w:tcPr>
            <w:tcW w:type="dxa" w:w="402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只有被授权者开火，结束后恢复静默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AT08</w:t>
            </w:r>
          </w:p>
        </w:tc>
        <w:tc>
          <w:tcPr>
            <w:tcW w:type="dxa" w:w="1389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FR16</w:t>
            </w:r>
          </w:p>
        </w:tc>
        <w:tc>
          <w:tcPr>
            <w:tcW w:type="dxa" w:w="3487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四人同一步争抢单槽掩体</w:t>
            </w:r>
          </w:p>
        </w:tc>
        <w:tc>
          <w:tcPr>
            <w:tcW w:type="dxa" w:w="402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只有一个预约成功，其他人改选或提示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AT09</w:t>
            </w:r>
          </w:p>
        </w:tc>
        <w:tc>
          <w:tcPr>
            <w:tcW w:type="dxa" w:w="1389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FR13 FR16</w:t>
            </w:r>
          </w:p>
        </w:tc>
        <w:tc>
          <w:tcPr>
            <w:tcW w:type="dxa" w:w="3487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预约后立刻移动取消并返回旧路径回调</w:t>
            </w:r>
          </w:p>
        </w:tc>
        <w:tc>
          <w:tcPr>
            <w:tcW w:type="dxa" w:w="402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旧回调不覆盖新命令，槽位正确释放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AT10</w:t>
            </w:r>
          </w:p>
        </w:tc>
        <w:tc>
          <w:tcPr>
            <w:tcW w:type="dxa" w:w="1389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FR15 FR18</w:t>
            </w:r>
          </w:p>
        </w:tc>
        <w:tc>
          <w:tcPr>
            <w:tcW w:type="dxa" w:w="3487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墙后无合法开火点</w:t>
            </w:r>
          </w:p>
        </w:tc>
        <w:tc>
          <w:tcPr>
            <w:tcW w:type="dxa" w:w="402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不造成穿墙伤害，报告或在允许范围换位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AT11</w:t>
            </w:r>
          </w:p>
        </w:tc>
        <w:tc>
          <w:tcPr>
            <w:tcW w:type="dxa" w:w="1389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FR16</w:t>
            </w:r>
          </w:p>
        </w:tc>
        <w:tc>
          <w:tcPr>
            <w:tcW w:type="dxa" w:w="3487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两个掩体评分小幅交替变化</w:t>
            </w:r>
          </w:p>
        </w:tc>
        <w:tc>
          <w:tcPr>
            <w:tcW w:type="dxa" w:w="402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不频繁横跳，明显侧击可及时换位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AT12</w:t>
            </w:r>
          </w:p>
        </w:tc>
        <w:tc>
          <w:tcPr>
            <w:tcW w:type="dxa" w:w="1389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FR14</w:t>
            </w:r>
          </w:p>
        </w:tc>
        <w:tc>
          <w:tcPr>
            <w:tcW w:type="dxa" w:w="3487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四人穿过窄门，一人路径不可达</w:t>
            </w:r>
          </w:p>
        </w:tc>
        <w:tc>
          <w:tcPr>
            <w:tcW w:type="dxa" w:w="402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可行动者依次通过，失败者有限重试并报告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AT13</w:t>
            </w:r>
          </w:p>
        </w:tc>
        <w:tc>
          <w:tcPr>
            <w:tcW w:type="dxa" w:w="1389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FR19</w:t>
            </w:r>
          </w:p>
        </w:tc>
        <w:tc>
          <w:tcPr>
            <w:tcW w:type="dxa" w:w="3487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装填前后多次取消、换武器、转移武器</w:t>
            </w:r>
          </w:p>
        </w:tc>
        <w:tc>
          <w:tcPr>
            <w:tcW w:type="dxa" w:w="402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弹匣与备弹数量守恒，不刷新满弹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AT14</w:t>
            </w:r>
          </w:p>
        </w:tc>
        <w:tc>
          <w:tcPr>
            <w:tcW w:type="dxa" w:w="1389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FR20</w:t>
            </w:r>
          </w:p>
        </w:tc>
        <w:tc>
          <w:tcPr>
            <w:tcW w:type="dxa" w:w="3487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队友站在射线中，后方敌人在射程内</w:t>
            </w:r>
          </w:p>
        </w:tc>
        <w:tc>
          <w:tcPr>
            <w:tcW w:type="dxa" w:w="402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按首版规则忽略队友，墙体仍阻挡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AT15</w:t>
            </w:r>
          </w:p>
        </w:tc>
        <w:tc>
          <w:tcPr>
            <w:tcW w:type="dxa" w:w="1389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FR23</w:t>
            </w:r>
          </w:p>
        </w:tc>
        <w:tc>
          <w:tcPr>
            <w:tcW w:type="dxa" w:w="3487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暂停规划两个费用之和超出资源的技能</w:t>
            </w:r>
          </w:p>
        </w:tc>
        <w:tc>
          <w:tcPr>
            <w:tcW w:type="dxa" w:w="402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第二计划不能透支，取消首个后预留释放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AT16</w:t>
            </w:r>
          </w:p>
        </w:tc>
        <w:tc>
          <w:tcPr>
            <w:tcW w:type="dxa" w:w="1389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FR03</w:t>
            </w:r>
          </w:p>
        </w:tc>
        <w:tc>
          <w:tcPr>
            <w:tcW w:type="dxa" w:w="3487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有弹丸、倒地与撤离读条时暂停三十秒</w:t>
            </w:r>
          </w:p>
        </w:tc>
        <w:tc>
          <w:tcPr>
            <w:tcW w:type="dxa" w:w="402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所有模拟量不变化，恢复不补结三十秒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AT17</w:t>
            </w:r>
          </w:p>
        </w:tc>
        <w:tc>
          <w:tcPr>
            <w:tcW w:type="dxa" w:w="1389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FR25</w:t>
            </w:r>
          </w:p>
        </w:tc>
        <w:tc>
          <w:tcPr>
            <w:tcW w:type="dxa" w:w="3487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反复取消与重新搜索同一容器</w:t>
            </w:r>
          </w:p>
        </w:tc>
        <w:tc>
          <w:tcPr>
            <w:tcW w:type="dxa" w:w="402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内容不重抽，已取得物品不再生成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AT18</w:t>
            </w:r>
          </w:p>
        </w:tc>
        <w:tc>
          <w:tcPr>
            <w:tcW w:type="dxa" w:w="1389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FR26 FR27</w:t>
            </w:r>
          </w:p>
        </w:tc>
        <w:tc>
          <w:tcPr>
            <w:tcW w:type="dxa" w:w="3487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两人相距十米，通过共享UI转移</w:t>
            </w:r>
          </w:p>
        </w:tc>
        <w:tc>
          <w:tcPr>
            <w:tcW w:type="dxa" w:w="402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不瞬移，取消操作后来源与数量不变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AT19</w:t>
            </w:r>
          </w:p>
        </w:tc>
        <w:tc>
          <w:tcPr>
            <w:tcW w:type="dxa" w:w="1389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FR26 FR27</w:t>
            </w:r>
          </w:p>
        </w:tc>
        <w:tc>
          <w:tcPr>
            <w:tcW w:type="dxa" w:w="3487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交接将完成时目标失能或背包满</w:t>
            </w:r>
          </w:p>
        </w:tc>
        <w:tc>
          <w:tcPr>
            <w:tcW w:type="dxa" w:w="402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转移整体失败，物品仍只在来源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AT20</w:t>
            </w:r>
          </w:p>
        </w:tc>
        <w:tc>
          <w:tcPr>
            <w:tcW w:type="dxa" w:w="1389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FR29</w:t>
            </w:r>
          </w:p>
        </w:tc>
        <w:tc>
          <w:tcPr>
            <w:tcW w:type="dxa" w:w="3487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同一角色被救起后再次生命归零</w:t>
            </w:r>
          </w:p>
        </w:tc>
        <w:tc>
          <w:tcPr>
            <w:tcW w:type="dxa" w:w="402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进入失能，不允许再次使用普通扶起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AT21</w:t>
            </w:r>
          </w:p>
        </w:tc>
        <w:tc>
          <w:tcPr>
            <w:tcW w:type="dxa" w:w="1389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FR30</w:t>
            </w:r>
          </w:p>
        </w:tc>
        <w:tc>
          <w:tcPr>
            <w:tcW w:type="dxa" w:w="3487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携带伤员移动，携带者又倒地</w:t>
            </w:r>
          </w:p>
        </w:tc>
        <w:tc>
          <w:tcPr>
            <w:tcW w:type="dxa" w:w="402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伤员合法落地，关系清理，物品不复制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AT22</w:t>
            </w:r>
          </w:p>
        </w:tc>
        <w:tc>
          <w:tcPr>
            <w:tcW w:type="dxa" w:w="1389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FR31</w:t>
            </w:r>
          </w:p>
        </w:tc>
        <w:tc>
          <w:tcPr>
            <w:tcW w:type="dxa" w:w="3487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倒地者在撤离区但没人携带</w:t>
            </w:r>
          </w:p>
        </w:tc>
        <w:tc>
          <w:tcPr>
            <w:tcW w:type="dxa" w:w="402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列为不合格，不能无动作自动带出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AT23</w:t>
            </w:r>
          </w:p>
        </w:tc>
        <w:tc>
          <w:tcPr>
            <w:tcW w:type="dxa" w:w="1389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FR31</w:t>
            </w:r>
          </w:p>
        </w:tc>
        <w:tc>
          <w:tcPr>
            <w:tcW w:type="dxa" w:w="3487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三人在区内，一人在区外，点击撤离</w:t>
            </w:r>
          </w:p>
        </w:tc>
        <w:tc>
          <w:tcPr>
            <w:tcW w:type="dxa" w:w="402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未明确确认放弃前不读条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AT24</w:t>
            </w:r>
          </w:p>
        </w:tc>
        <w:tc>
          <w:tcPr>
            <w:tcW w:type="dxa" w:w="1389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FR31 FR32</w:t>
            </w:r>
          </w:p>
        </w:tc>
        <w:tc>
          <w:tcPr>
            <w:tcW w:type="dxa" w:w="3487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读条期间有人离区或放下伤员</w:t>
            </w:r>
          </w:p>
        </w:tc>
        <w:tc>
          <w:tcPr>
            <w:tcW w:type="dxa" w:w="402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中止并展示新名单，旧确认失效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AT25</w:t>
            </w:r>
          </w:p>
        </w:tc>
        <w:tc>
          <w:tcPr>
            <w:tcW w:type="dxa" w:w="1389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FR02 FR32</w:t>
            </w:r>
          </w:p>
        </w:tc>
        <w:tc>
          <w:tcPr>
            <w:tcW w:type="dxa" w:w="3487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时限与撤离同时到达完成点</w:t>
            </w:r>
          </w:p>
        </w:tc>
        <w:tc>
          <w:tcPr>
            <w:tcW w:type="dxa" w:w="402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按固定仲裁顺序得到同一结果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AT26</w:t>
            </w:r>
          </w:p>
        </w:tc>
        <w:tc>
          <w:tcPr>
            <w:tcW w:type="dxa" w:w="1389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FR32 FR41</w:t>
            </w:r>
          </w:p>
        </w:tc>
        <w:tc>
          <w:tcPr>
            <w:tcW w:type="dxa" w:w="3487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未撤离者的武器已交给成功撤离者</w:t>
            </w:r>
          </w:p>
        </w:tc>
        <w:tc>
          <w:tcPr>
            <w:tcW w:type="dxa" w:w="402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武器随实际持有人入库，不被再次删除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AT27</w:t>
            </w:r>
          </w:p>
        </w:tc>
        <w:tc>
          <w:tcPr>
            <w:tcW w:type="dxa" w:w="1389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FR28 FR41</w:t>
            </w:r>
          </w:p>
        </w:tc>
        <w:tc>
          <w:tcPr>
            <w:tcW w:type="dxa" w:w="3487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仓库满时成功撤离并重启</w:t>
            </w:r>
          </w:p>
        </w:tc>
        <w:tc>
          <w:tcPr>
            <w:tcW w:type="dxa" w:w="402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暂存区物品完整且唯一，整理前不能出击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AT28</w:t>
            </w:r>
          </w:p>
        </w:tc>
        <w:tc>
          <w:tcPr>
            <w:tcW w:type="dxa" w:w="1389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FR33 FR34</w:t>
            </w:r>
          </w:p>
        </w:tc>
        <w:tc>
          <w:tcPr>
            <w:tcW w:type="dxa" w:w="3487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越界或重叠建造，移动已建建筑</w:t>
            </w:r>
          </w:p>
        </w:tc>
        <w:tc>
          <w:tcPr>
            <w:tcW w:type="dxa" w:w="402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非法不扣钱，移动保留等级与实例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AT29</w:t>
            </w:r>
          </w:p>
        </w:tc>
        <w:tc>
          <w:tcPr>
            <w:tcW w:type="dxa" w:w="1389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FR34 FR35</w:t>
            </w:r>
          </w:p>
        </w:tc>
        <w:tc>
          <w:tcPr>
            <w:tcW w:type="dxa" w:w="3487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断电生产或拆除有待领取产物设施</w:t>
            </w:r>
          </w:p>
        </w:tc>
        <w:tc>
          <w:tcPr>
            <w:tcW w:type="dxa" w:w="402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进度保存并提示，产物不静默丢失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AT30</w:t>
            </w:r>
          </w:p>
        </w:tc>
        <w:tc>
          <w:tcPr>
            <w:tcW w:type="dxa" w:w="1389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FR36 FR39</w:t>
            </w:r>
          </w:p>
        </w:tc>
        <w:tc>
          <w:tcPr>
            <w:tcW w:type="dxa" w:w="3487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重开结算和重复点击任务领奖</w:t>
            </w:r>
          </w:p>
        </w:tc>
        <w:tc>
          <w:tcPr>
            <w:tcW w:type="dxa" w:w="402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经验、金币、招募与奖励只提交一次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AT31</w:t>
            </w:r>
          </w:p>
        </w:tc>
        <w:tc>
          <w:tcPr>
            <w:tcW w:type="dxa" w:w="1389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FR38</w:t>
            </w:r>
          </w:p>
        </w:tc>
        <w:tc>
          <w:tcPr>
            <w:tcW w:type="dxa" w:w="3487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零钱零装且四人重伤</w:t>
            </w:r>
          </w:p>
        </w:tc>
        <w:tc>
          <w:tcPr>
            <w:tcW w:type="dxa" w:w="402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可经配发与应急恢复再出击；不能刷卖配发物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AT32</w:t>
            </w:r>
          </w:p>
        </w:tc>
        <w:tc>
          <w:tcPr>
            <w:tcW w:type="dxa" w:w="1389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FR41 FR42</w:t>
            </w:r>
          </w:p>
        </w:tc>
        <w:tc>
          <w:tcPr>
            <w:tcW w:type="dxa" w:w="3487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出发提交后、结算提交前后分别强退</w:t>
            </w:r>
          </w:p>
        </w:tc>
        <w:tc>
          <w:tcPr>
            <w:tcW w:type="dxa" w:w="402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重启按实际提交状态恢复，不双扣或双发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AT33</w:t>
            </w:r>
          </w:p>
        </w:tc>
        <w:tc>
          <w:tcPr>
            <w:tcW w:type="dxa" w:w="1389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FR43</w:t>
            </w:r>
          </w:p>
        </w:tc>
        <w:tc>
          <w:tcPr>
            <w:tcW w:type="dxa" w:w="3487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P1加载快照后再次打开已搜容器</w:t>
            </w:r>
          </w:p>
        </w:tc>
        <w:tc>
          <w:tcPr>
            <w:tcW w:type="dxa" w:w="402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容器、消耗和随机状态不重置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AT34</w:t>
            </w:r>
          </w:p>
        </w:tc>
        <w:tc>
          <w:tcPr>
            <w:tcW w:type="dxa" w:w="1389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FR06 FR37</w:t>
            </w:r>
          </w:p>
        </w:tc>
        <w:tc>
          <w:tcPr>
            <w:tcW w:type="dxa" w:w="3487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同厂商两个型号出战并分别升级</w:t>
            </w:r>
          </w:p>
        </w:tc>
        <w:tc>
          <w:tcPr>
            <w:tcW w:type="dxa" w:w="402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名册与装备独立，旧型号不被新型号覆盖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AT35</w:t>
            </w:r>
          </w:p>
        </w:tc>
        <w:tc>
          <w:tcPr>
            <w:tcW w:type="dxa" w:w="1389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FR06 FR46</w:t>
            </w:r>
          </w:p>
        </w:tc>
        <w:tc>
          <w:tcPr>
            <w:tcW w:type="dxa" w:w="3487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给同一角色换皮肤，再加载存档</w:t>
            </w:r>
          </w:p>
        </w:tc>
        <w:tc>
          <w:tcPr>
            <w:tcW w:type="dxa" w:w="402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仍为同一实例，等级装备与技能不变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AT36</w:t>
            </w:r>
          </w:p>
        </w:tc>
        <w:tc>
          <w:tcPr>
            <w:tcW w:type="dxa" w:w="1389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FR44 FR45</w:t>
            </w:r>
          </w:p>
        </w:tc>
        <w:tc>
          <w:tcPr>
            <w:tcW w:type="dxa" w:w="3487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导入候选并核对设定与动作</w:t>
            </w:r>
          </w:p>
        </w:tc>
        <w:tc>
          <w:tcPr>
            <w:tcW w:type="dxa" w:w="402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形象匹配、导入与缺项分记；未通过不标成品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AT37</w:t>
            </w:r>
          </w:p>
        </w:tc>
        <w:tc>
          <w:tcPr>
            <w:tcW w:type="dxa" w:w="1389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FR46</w:t>
            </w:r>
          </w:p>
        </w:tc>
        <w:tc>
          <w:tcPr>
            <w:tcW w:type="dxa" w:w="3487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同家三型号对照选定设定并缩小观察</w:t>
            </w:r>
          </w:p>
        </w:tc>
        <w:tc>
          <w:tcPr>
            <w:tcW w:type="dxa" w:w="402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符合选定版本；轮廓和表现可辨，衍生有记录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AT38</w:t>
            </w:r>
          </w:p>
        </w:tc>
        <w:tc>
          <w:tcPr>
            <w:tcW w:type="dxa" w:w="1389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NFR01 NFR02</w:t>
            </w:r>
          </w:p>
        </w:tc>
        <w:tc>
          <w:tcPr>
            <w:tcW w:type="dxa" w:w="3487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固定目标设备持续十分钟高峰战斗</w:t>
            </w:r>
          </w:p>
        </w:tc>
        <w:tc>
          <w:tcPr>
            <w:tcW w:type="dxa" w:w="402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记录帧时间与分配，满足锁定预算或列明瓶颈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AT39</w:t>
            </w:r>
          </w:p>
        </w:tc>
        <w:tc>
          <w:tcPr>
            <w:tcW w:type="dxa" w:w="1389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NFR02</w:t>
            </w:r>
          </w:p>
        </w:tc>
        <w:tc>
          <w:tcPr>
            <w:tcW w:type="dxa" w:w="3487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反复进出同一地图十次</w:t>
            </w:r>
          </w:p>
        </w:tc>
        <w:tc>
          <w:tcPr>
            <w:tcW w:type="dxa" w:w="402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会话订阅、预约和活动实体回到稳定基线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AT40</w:t>
            </w:r>
          </w:p>
        </w:tc>
        <w:tc>
          <w:tcPr>
            <w:tcW w:type="dxa" w:w="1389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NFR03 NFR04</w:t>
            </w:r>
          </w:p>
        </w:tc>
        <w:tc>
          <w:tcPr>
            <w:tcW w:type="dxa" w:w="3487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制造坏配置和一个停滞单位</w:t>
            </w:r>
          </w:p>
        </w:tc>
        <w:tc>
          <w:tcPr>
            <w:tcW w:type="dxa" w:w="402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输出具体资源字段和行为原因，便于修复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AT41</w:t>
            </w:r>
          </w:p>
        </w:tc>
        <w:tc>
          <w:tcPr>
            <w:tcW w:type="dxa" w:w="1389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FR04 FR23 FR42</w:t>
            </w:r>
          </w:p>
        </w:tc>
        <w:tc>
          <w:tcPr>
            <w:tcW w:type="dxa" w:w="3487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消耗一次支援补给后立即中断并恢复</w:t>
            </w:r>
          </w:p>
        </w:tc>
        <w:tc>
          <w:tcPr>
            <w:tcW w:type="dxa" w:w="402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已提交消耗按日志扣除一次，未用额度解除锁定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AT42</w:t>
            </w:r>
          </w:p>
        </w:tc>
        <w:tc>
          <w:tcPr>
            <w:tcW w:type="dxa" w:w="1389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FR36 FR41</w:t>
            </w:r>
          </w:p>
        </w:tc>
        <w:tc>
          <w:tcPr>
            <w:tcW w:type="dxa" w:w="3487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三名主战带出、一人被放弃，随后结算</w:t>
            </w:r>
          </w:p>
        </w:tc>
        <w:tc>
          <w:tcPr>
            <w:tcW w:type="dxa" w:w="402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角色按资格发经验；支援按行动成功倍率发放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AT43</w:t>
            </w:r>
          </w:p>
        </w:tc>
        <w:tc>
          <w:tcPr>
            <w:tcW w:type="dxa" w:w="1389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FR11 FR31</w:t>
            </w:r>
          </w:p>
        </w:tc>
        <w:tc>
          <w:tcPr>
            <w:tcW w:type="dxa" w:w="3487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撤离区边缘有更高分的区外掩体</w:t>
            </w:r>
          </w:p>
        </w:tc>
        <w:tc>
          <w:tcPr>
            <w:tcW w:type="dxa" w:w="402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自动站位与探身不离区；明确手动离区才改名单</w:t>
            </w:r>
          </w:p>
        </w:tc>
      </w:tr>
    </w:tbl>
    <w:p>
      <w:pPr>
        <w:spacing w:before="0" w:after="40" w:line="40" w:lineRule="exact"/>
      </w:pPr>
      <w:r>
        <w:rPr>
          <w:rFonts w:ascii="Noto Sans CJK SC" w:hAnsi="Noto Sans CJK SC" w:eastAsia="Noto Sans CJK SC" w:cs="Noto Sans CJK SC"/>
          <w:i w:val="0"/>
          <w:color w:val="000000"/>
          <w:sz w:val="4"/>
          <w:szCs w:val="4"/>
          <w:b w:val="0"/>
          <w:bCs w:val="0"/>
          <w:lang w:val="en-US" w:eastAsia="zh-CN"/>
        </w:rPr>
      </w:r>
    </w:p>
    <w:p>
      <w:pPr>
        <w:pStyle w:val="Heading1"/>
      </w:pPr>
      <w:r>
        <w:rPr>
          <w:rFonts w:ascii="Noto Sans CJK SC" w:hAnsi="Noto Sans CJK SC" w:eastAsia="Noto Sans CJK SC" w:cs="Noto Sans CJK SC"/>
          <w:i w:val="0"/>
          <w:color w:val="000000"/>
          <w:sz w:val="30"/>
          <w:szCs w:val="30"/>
          <w:b w:val="1"/>
          <w:bCs w:val="1"/>
          <w:lang w:val="en-US" w:eastAsia="zh-CN"/>
        </w:rPr>
        <w:t>19 实施关卡与完成标准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19 1 本次 Demo 四前排与两支援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当前已接入3D站立编队、原提起/放下动画与语音、选槽和同组换位、前排3D拖拽、六人入场、原斜卡六技能入口及4段血条。第一前排为队长，入场从其自身两条已接入原出场语音随机，胜利仍随机存活前排；单选移动播放原移动语音。本轮10资源形态的移动、刹车、攻击、换弹和战场EX回Idle核对及修复见FR21，Play复查Console无警告或错误。此前已运行验证编队换位、六人入场、女仆炮击、临战绑定后一次EX与撤离胜利；四名前排Vital_Death姿势及DEFEAT、支援技能后外层root在场外隐藏均已实测正确。临战支持第二、第三次效果尚未验证，直升机救援仍未证实；完整原版UI、COST牌库、搜打撤经济闭环仍未交付。仍须补验CH0336第二、第三次支持与3秒撤离边界。胜利顺序为VICTORY约1.333秒后，Complete与四前排8秒演出同时开始，结束后保持结果层；不虚构EXP或经济奖励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19 2 后续 M0 小队战术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在当前4+2与基础暂停、攻击移动和指令覆盖基础上，后续M0加入掩体、稳定战术编队、共享感知、敌方AI和更完整支援策略；编队页同组换位不等同局内战术编队。按适用AT用例逐项取得运行证据。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19 3 里程碑三 搜打撤闭环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在当前简单撤离基础上加入物品、救援、完整撤离资格与确认、物资结算、失败损失和P0存档。通过AT17至AT28、AT30至AT32。至少演示一次成功、一次失败、一次部分成员撤离和一次中断恢复。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19 4 里程碑四 基地与型号角色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完成建造、成长、任务、破产恢复与同家型号独立档案。通过AT29至AT37的适用部分。先验证两名具体型号的真实差异，再批量扩充到首版阵容。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19 5 里程碑五 内容与质量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补齐P1内容、完整局内继续、正式资源与性能目标，通过全部适用用例。交付工程、配置说明、资源登记、操作说明、已知限制和可运行构建。只完成脚本或静态界面不能标记里程碑完成。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i w:val="0"/>
          <w:color w:val="000000"/>
          <w:sz w:val="30"/>
          <w:szCs w:val="30"/>
          <w:b w:val="1"/>
          <w:bCs w:val="1"/>
          <w:lang w:val="en-US" w:eastAsia="zh-CN"/>
        </w:rPr>
        <w:t>20 官方资料与型号登记示例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20 1 代表性型号目录</w:t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下表仅用于演示角色身份登记，按2026年10月27日可查阅官方目录记录。它不是完整名单，不代表首版需要全部制作，也不用于评定角色强弱。官方型号登记与 B 站视觉设定分别记录；型号列入目录不表示已有匹配三维资产。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100" w:type="dxa"/>
          <w:right w:w="100" w:type="dxa"/>
        </w:tblCellMar>
      </w:tblPr>
      <w:tblGrid>
        <w:gridCol w:w="1871"/>
        <w:gridCol w:w="3515"/>
        <w:gridCol w:w="4252"/>
      </w:tblGrid>
      <w:tr>
        <w:trPr>
          <w:cantSplit/>
          <w:tblHeader/>
        </w:trPr>
        <w:tc>
          <w:tcPr>
            <w:tcW w:type="dxa" w:w="1871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厂商</w:t>
            </w:r>
          </w:p>
        </w:tc>
        <w:tc>
          <w:tcPr>
            <w:tcW w:type="dxa" w:w="3515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已核对的型号示例</w:t>
            </w:r>
          </w:p>
        </w:tc>
        <w:tc>
          <w:tcPr>
            <w:tcW w:type="dxa" w:w="4252"/>
            <w:vAlign w:val="center"/>
            <w:shd w:val="clear" w:fill="24445F"/>
          </w:tcPr>
          <w:p>
            <w:pPr>
              <w:keepNext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FFFFFF"/>
                <w:sz w:val="18"/>
                <w:szCs w:val="18"/>
                <w:b w:val="1"/>
                <w:bCs w:val="1"/>
                <w:lang w:val="en-US" w:eastAsia="zh-CN"/>
              </w:rPr>
              <w:t>游戏登记方式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OpenAI</w:t>
            </w:r>
          </w:p>
        </w:tc>
        <w:tc>
          <w:tcPr>
            <w:tcW w:type="dxa" w:w="351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GPT-6 Astra，GPT-6.1 Sol，GPT-6.1 Terra</w:t>
            </w:r>
          </w:p>
        </w:tc>
        <w:tc>
          <w:tcPr>
            <w:tcW w:type="dxa" w:w="4252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每个型号可建独立角色定义 [M1]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Anthropic</w:t>
            </w:r>
          </w:p>
        </w:tc>
        <w:tc>
          <w:tcPr>
            <w:tcW w:type="dxa" w:w="351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Claude Opus 5.5，Claude Sonnet 5.5，Claude Haiku 5.5</w:t>
            </w:r>
          </w:p>
        </w:tc>
        <w:tc>
          <w:tcPr>
            <w:tcW w:type="dxa" w:w="4252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系列与版本分字段保存 [M2]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Google</w:t>
            </w:r>
          </w:p>
        </w:tc>
        <w:tc>
          <w:tcPr>
            <w:tcW w:type="dxa" w:w="3515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Gemini 4 Argon，Gemini 3.8 Flash，Gemini 3.5 Flash-Lite</w:t>
            </w:r>
          </w:p>
        </w:tc>
        <w:tc>
          <w:tcPr>
            <w:tcW w:type="dxa" w:w="4252"/>
            <w:vAlign w:val="center"/>
            <w:shd w:val="clear" w:fill="FFFFFF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保留官方显示名与稳定内部ID [M3]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DeepSeek</w:t>
            </w:r>
          </w:p>
        </w:tc>
        <w:tc>
          <w:tcPr>
            <w:tcW w:type="dxa" w:w="3515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DeepSeek-V4.1-Flash-1017，DeepSeek-V4-Pro-0813</w:t>
            </w:r>
          </w:p>
        </w:tc>
        <w:tc>
          <w:tcPr>
            <w:tcW w:type="dxa" w:w="4252"/>
            <w:vAlign w:val="center"/>
            <w:shd w:val="clear" w:fill="F1F5F8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i w:val="0"/>
                <w:color w:val="000000"/>
                <w:sz w:val="18"/>
                <w:szCs w:val="18"/>
                <w:b w:val="0"/>
                <w:bCs w:val="0"/>
                <w:lang w:val="en-US" w:eastAsia="zh-CN"/>
              </w:rPr>
              <w:t>完整保存官方版本标识，另行记录当前API别名 [M4]</w:t>
            </w:r>
          </w:p>
        </w:tc>
      </w:tr>
    </w:tbl>
    <w:p>
      <w:pPr>
        <w:spacing w:before="0" w:after="40" w:line="40" w:lineRule="exact"/>
      </w:pPr>
      <w:r>
        <w:rPr>
          <w:rFonts w:ascii="Noto Sans CJK SC" w:hAnsi="Noto Sans CJK SC" w:eastAsia="Noto Sans CJK SC" w:cs="Noto Sans CJK SC"/>
          <w:i w:val="0"/>
          <w:color w:val="000000"/>
          <w:sz w:val="4"/>
          <w:szCs w:val="4"/>
          <w:b w:val="0"/>
          <w:bCs w:val="0"/>
          <w:lang w:val="en-US" w:eastAsia="zh-CN"/>
        </w:rPr>
      </w:r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目录可继续加入 Qwen 与 Kimi，但每个条目必须有可核验的官方型号出处。角色创作不需要等到所有厂商目录都齐备。产品套餐与推理强度不自动作为独立模型角色；是否设计为姿态或皮肤由策划明确决定。模型官方版本、目录查阅日期和三维美术资产版本分字段记录；美术资源的版本编号不作为 AI 型号身份。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i w:val="0"/>
          <w:color w:val="000000"/>
          <w:sz w:val="24"/>
          <w:szCs w:val="24"/>
          <w:b w:val="1"/>
          <w:bCs w:val="1"/>
          <w:lang w:val="en-US" w:eastAsia="zh-CN"/>
        </w:rPr>
        <w:t>20 2 技术与目录来源</w:t>
      </w:r>
    </w:p>
    <w:p>
      <w:pPr>
        <w:spacing w:after="100"/>
      </w:pPr>
      <w:r>
        <w:rPr>
          <w:rFonts w:ascii="Noto Sans CJK SC" w:hAnsi="Noto Sans CJK SC" w:eastAsia="Noto Sans CJK SC" w:cs="Noto Sans CJK SC"/>
          <w:i w:val="0"/>
          <w:color w:val="000000"/>
          <w:sz w:val="19"/>
          <w:szCs w:val="19"/>
          <w:b w:val="0"/>
          <w:bCs w:val="0"/>
          <w:lang w:val="en-US" w:eastAsia="zh-CN"/>
        </w:rPr>
        <w:t>[T1] Unity 2022.3 AI Navigation 手册。</w:t>
      </w:r>
      <w:hyperlink r:id="rId16">
        <w:r>
          <w:rPr>
            <w:rFonts w:ascii="Noto Sans CJK SC" w:hAnsi="Noto Sans CJK SC" w:eastAsia="Noto Sans CJK SC" w:cs="Noto Sans CJK SC"/>
            <w:color w:val="000000"/>
            <w:sz w:val="21"/>
            <w:szCs w:val="21"/>
            <w:b w:val="0"/>
            <w:bCs w:val="0"/>
            <w:lang w:val="en-US" w:eastAsia="zh-CN"/>
            <w:u w:val="single"/>
          </w:rPr>
          <w:t>打开来源</w:t>
        </w:r>
      </w:hyperlink>
    </w:p>
    <w:p>
      <w:pPr>
        <w:spacing w:after="100"/>
      </w:pPr>
      <w:r>
        <w:rPr>
          <w:rFonts w:ascii="Noto Sans CJK SC" w:hAnsi="Noto Sans CJK SC" w:eastAsia="Noto Sans CJK SC" w:cs="Noto Sans CJK SC"/>
          <w:i w:val="0"/>
          <w:color w:val="000000"/>
          <w:sz w:val="19"/>
          <w:szCs w:val="19"/>
          <w:b w:val="0"/>
          <w:bCs w:val="0"/>
          <w:lang w:val="en-US" w:eastAsia="zh-CN"/>
        </w:rPr>
        <w:t>[T2] Unity AI Navigation 包说明。</w:t>
      </w:r>
      <w:hyperlink r:id="rId17">
        <w:r>
          <w:rPr>
            <w:rFonts w:ascii="Noto Sans CJK SC" w:hAnsi="Noto Sans CJK SC" w:eastAsia="Noto Sans CJK SC" w:cs="Noto Sans CJK SC"/>
            <w:color w:val="000000"/>
            <w:sz w:val="21"/>
            <w:szCs w:val="21"/>
            <w:b w:val="0"/>
            <w:bCs w:val="0"/>
            <w:lang w:val="en-US" w:eastAsia="zh-CN"/>
            <w:u w:val="single"/>
          </w:rPr>
          <w:t>打开来源</w:t>
        </w:r>
      </w:hyperlink>
    </w:p>
    <w:p>
      <w:pPr>
        <w:spacing w:after="100"/>
      </w:pPr>
      <w:r>
        <w:rPr>
          <w:rFonts w:ascii="Noto Sans CJK SC" w:hAnsi="Noto Sans CJK SC" w:eastAsia="Noto Sans CJK SC" w:cs="Noto Sans CJK SC"/>
          <w:i w:val="0"/>
          <w:color w:val="000000"/>
          <w:sz w:val="19"/>
          <w:szCs w:val="19"/>
          <w:b w:val="0"/>
          <w:bCs w:val="0"/>
          <w:lang w:val="en-US" w:eastAsia="zh-CN"/>
        </w:rPr>
        <w:t>[M1] OpenAI 模型目录。</w:t>
      </w:r>
      <w:hyperlink r:id="rId18">
        <w:r>
          <w:rPr>
            <w:rFonts w:ascii="Noto Sans CJK SC" w:hAnsi="Noto Sans CJK SC" w:eastAsia="Noto Sans CJK SC" w:cs="Noto Sans CJK SC"/>
            <w:color w:val="000000"/>
            <w:sz w:val="21"/>
            <w:szCs w:val="21"/>
            <w:b w:val="0"/>
            <w:bCs w:val="0"/>
            <w:lang w:val="en-US" w:eastAsia="zh-CN"/>
            <w:u w:val="single"/>
          </w:rPr>
          <w:t>打开来源</w:t>
        </w:r>
      </w:hyperlink>
    </w:p>
    <w:p>
      <w:pPr>
        <w:spacing w:after="100"/>
      </w:pPr>
      <w:r>
        <w:rPr>
          <w:rFonts w:ascii="Noto Sans CJK SC" w:hAnsi="Noto Sans CJK SC" w:eastAsia="Noto Sans CJK SC" w:cs="Noto Sans CJK SC"/>
          <w:i w:val="0"/>
          <w:color w:val="000000"/>
          <w:sz w:val="19"/>
          <w:szCs w:val="19"/>
          <w:b w:val="0"/>
          <w:bCs w:val="0"/>
          <w:lang w:val="en-US" w:eastAsia="zh-CN"/>
        </w:rPr>
        <w:t>[M2] Anthropic 模型目录。</w:t>
      </w:r>
      <w:hyperlink r:id="rId19">
        <w:r>
          <w:rPr>
            <w:rFonts w:ascii="Noto Sans CJK SC" w:hAnsi="Noto Sans CJK SC" w:eastAsia="Noto Sans CJK SC" w:cs="Noto Sans CJK SC"/>
            <w:color w:val="000000"/>
            <w:sz w:val="21"/>
            <w:szCs w:val="21"/>
            <w:b w:val="0"/>
            <w:bCs w:val="0"/>
            <w:lang w:val="en-US" w:eastAsia="zh-CN"/>
            <w:u w:val="single"/>
          </w:rPr>
          <w:t>打开来源</w:t>
        </w:r>
      </w:hyperlink>
    </w:p>
    <w:p>
      <w:pPr>
        <w:spacing w:after="100"/>
      </w:pPr>
      <w:r>
        <w:rPr>
          <w:rFonts w:ascii="Noto Sans CJK SC" w:hAnsi="Noto Sans CJK SC" w:eastAsia="Noto Sans CJK SC" w:cs="Noto Sans CJK SC"/>
          <w:i w:val="0"/>
          <w:color w:val="000000"/>
          <w:sz w:val="19"/>
          <w:szCs w:val="19"/>
          <w:b w:val="0"/>
          <w:bCs w:val="0"/>
          <w:lang w:val="en-US" w:eastAsia="zh-CN"/>
        </w:rPr>
        <w:t>[M3] Google Gemini 模型目录。</w:t>
      </w:r>
      <w:hyperlink r:id="rId20">
        <w:r>
          <w:rPr>
            <w:rFonts w:ascii="Noto Sans CJK SC" w:hAnsi="Noto Sans CJK SC" w:eastAsia="Noto Sans CJK SC" w:cs="Noto Sans CJK SC"/>
            <w:color w:val="000000"/>
            <w:sz w:val="21"/>
            <w:szCs w:val="21"/>
            <w:b w:val="0"/>
            <w:bCs w:val="0"/>
            <w:lang w:val="en-US" w:eastAsia="zh-CN"/>
            <w:u w:val="single"/>
          </w:rPr>
          <w:t>打开来源</w:t>
        </w:r>
      </w:hyperlink>
    </w:p>
    <w:p>
      <w:pPr>
        <w:spacing w:after="100"/>
      </w:pPr>
      <w:r>
        <w:rPr>
          <w:rFonts w:ascii="Noto Sans CJK SC" w:hAnsi="Noto Sans CJK SC" w:eastAsia="Noto Sans CJK SC" w:cs="Noto Sans CJK SC"/>
          <w:i w:val="0"/>
          <w:color w:val="000000"/>
          <w:sz w:val="19"/>
          <w:szCs w:val="19"/>
          <w:b w:val="0"/>
          <w:bCs w:val="0"/>
          <w:lang w:val="en-US" w:eastAsia="zh-CN"/>
        </w:rPr>
        <w:t>[M4] DeepSeek 当前型号目录。</w:t>
      </w:r>
      <w:hyperlink r:id="rId21">
        <w:r>
          <w:rPr>
            <w:rFonts w:ascii="Noto Sans CJK SC" w:hAnsi="Noto Sans CJK SC" w:eastAsia="Noto Sans CJK SC" w:cs="Noto Sans CJK SC"/>
            <w:color w:val="000000"/>
            <w:sz w:val="21"/>
            <w:szCs w:val="21"/>
            <w:b w:val="0"/>
            <w:bCs w:val="0"/>
            <w:lang w:val="en-US" w:eastAsia="zh-CN"/>
            <w:u w:val="single"/>
          </w:rPr>
          <w:t>打开来源</w:t>
        </w:r>
      </w:hyperlink>
    </w:p>
    <w:p>
      <w:r>
        <w:rPr>
          <w:rFonts w:ascii="Noto Sans CJK SC" w:hAnsi="Noto Sans CJK SC" w:eastAsia="Noto Sans CJK SC" w:cs="Noto Sans CJK SC"/>
          <w:i w:val="0"/>
          <w:color w:val="000000"/>
          <w:sz w:val="21"/>
          <w:szCs w:val="21"/>
          <w:b w:val="0"/>
          <w:bCs w:val="0"/>
          <w:lang w:val="en-US" w:eastAsia="zh-CN"/>
        </w:rPr>
        <w:t>工程技术建议属于本项目设计，不构成对所有平台兼容性的承诺。部署到手机或微信小游戏前，须针对现有模型、动画、材质、导航、存档和输入进行独立验证。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i w:val="0"/>
        <w:color w:val="000000"/>
        <w:sz w:val="17"/>
        <w:szCs w:val="17"/>
        <w:b w:val="0"/>
        <w:bCs w:val="0"/>
        <w:lang w:val="en-US" w:eastAsia="zh-CN"/>
      </w:rPr>
      <w:t xml:space="preserve">第 </w:t>
    </w:r>
    <w:r>
      <w:rPr>
        <w:rFonts w:ascii="Noto Sans CJK SC" w:hAnsi="Noto Sans CJK SC" w:eastAsia="Noto Sans CJK SC" w:cs="Noto Sans CJK SC"/>
        <w:color w:val="000000"/>
        <w:sz w:val="17"/>
        <w:szCs w:val="17"/>
        <w:b w:val="0"/>
        <w:bCs w:val="0"/>
        <w:lang w:val="en-US" w:eastAsia="zh-CN"/>
      </w:rPr>
      <w:fldChar w:fldCharType="begin"/>
    </w:r>
    <w:r>
      <w:instrText xml:space="preserve"> PAGE </w:instrText>
    </w:r>
    <w:r>
      <w:fldChar w:fldCharType="separate"/>
    </w:r>
    <w:r>
      <w:rPr>
        <w:rFonts w:ascii="Noto Sans CJK SC" w:hAnsi="Noto Sans CJK SC" w:eastAsia="Noto Sans CJK SC" w:cs="Noto Sans CJK SC"/>
        <w:i w:val="0"/>
        <w:color w:val="000000"/>
        <w:sz w:val="17"/>
        <w:szCs w:val="17"/>
        <w:b w:val="0"/>
        <w:bCs w:val="0"/>
        <w:lang w:val="en-US" w:eastAsia="zh-CN"/>
      </w:rPr>
      <w:t>1</w:t>
    </w:r>
    <w:r>
      <w:fldChar w:fldCharType="end"/>
    </w:r>
    <w:r>
      <w:rPr>
        <w:rFonts w:ascii="Noto Sans CJK SC" w:hAnsi="Noto Sans CJK SC" w:eastAsia="Noto Sans CJK SC" w:cs="Noto Sans CJK SC"/>
        <w:i w:val="0"/>
        <w:color w:val="000000"/>
        <w:sz w:val="17"/>
        <w:szCs w:val="17"/>
        <w:b w:val="0"/>
        <w:bCs w:val="0"/>
        <w:lang w:val="en-US" w:eastAsia="zh-CN"/>
      </w:rPr>
      <w:t xml:space="preserve"> 页  共 </w:t>
    </w:r>
    <w:r>
      <w:rPr>
        <w:rFonts w:ascii="Noto Sans CJK SC" w:hAnsi="Noto Sans CJK SC" w:eastAsia="Noto Sans CJK SC" w:cs="Noto Sans CJK SC"/>
        <w:color w:val="000000"/>
        <w:sz w:val="17"/>
        <w:szCs w:val="17"/>
        <w:b w:val="0"/>
        <w:bCs w:val="0"/>
        <w:lang w:val="en-US" w:eastAsia="zh-CN"/>
      </w:rPr>
      <w:fldChar w:fldCharType="begin"/>
    </w:r>
    <w:r>
      <w:instrText xml:space="preserve"> NUMPAGES </w:instrText>
    </w:r>
    <w:r>
      <w:fldChar w:fldCharType="separate"/>
    </w:r>
    <w:r>
      <w:rPr>
        <w:rFonts w:ascii="Noto Sans CJK SC" w:hAnsi="Noto Sans CJK SC" w:eastAsia="Noto Sans CJK SC" w:cs="Noto Sans CJK SC"/>
        <w:i w:val="0"/>
        <w:color w:val="000000"/>
        <w:sz w:val="17"/>
        <w:szCs w:val="17"/>
        <w:b w:val="0"/>
        <w:bCs w:val="0"/>
        <w:lang w:val="en-US" w:eastAsia="zh-CN"/>
      </w:rPr>
      <w:t>1</w:t>
    </w:r>
    <w:r>
      <w:fldChar w:fldCharType="end"/>
    </w:r>
    <w:r>
      <w:rPr>
        <w:rFonts w:ascii="Noto Sans CJK SC" w:hAnsi="Noto Sans CJK SC" w:eastAsia="Noto Sans CJK SC" w:cs="Noto Sans CJK SC"/>
        <w:i w:val="0"/>
        <w:color w:val="000000"/>
        <w:sz w:val="17"/>
        <w:szCs w:val="17"/>
        <w:b w:val="0"/>
        <w:bCs w:val="0"/>
        <w:lang w:val="en-US" w:eastAsia="zh-CN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 w:cs="Noto Sans CJK SC"/>
        <w:i w:val="0"/>
        <w:color w:val="000000"/>
        <w:sz w:val="16"/>
        <w:szCs w:val="16"/>
        <w:b w:val="0"/>
        <w:bCs w:val="0"/>
        <w:lang w:val="en-US" w:eastAsia="zh-CN"/>
      </w:rPr>
      <w:t>BlueArchive 小队搜打撤 系统需求文档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ans CJK SC" w:hAnsi="Noto Sans CJK SC" w:eastAsia="Noto Sans CJK SC" w:cs="Noto Sans CJK SC"/>
        <w:sz w:val="21"/>
        <w:szCs w:val="21"/>
        <w:lang w:val="en-US" w:eastAsia="zh-CN" w:bidi="ar-SA"/>
        <w:color w:val="000000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before="0" w:after="110" w:line="283" w:lineRule="auto"/>
    </w:pPr>
    <w:rPr>
      <w:rFonts w:ascii="Noto Sans CJK SC" w:hAnsi="Noto Sans CJK SC" w:eastAsia="Noto Sans CJK SC" w:cs="Noto Sans CJK SC"/>
      <w:color w:val="000000"/>
      <w:sz w:val="21"/>
      <w:szCs w:val="21"/>
      <w:b w:val="0"/>
      <w:bCs w:val="0"/>
      <w:u w:val="none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keepLines w:val="0"/>
      <w:widowControl/>
      <w:tabs>
        <w:tab w:val="center" w:pos="4680"/>
        <w:tab w:val="right" w:pos="9360"/>
      </w:tabs>
      <w:spacing w:after="0" w:line="240" w:lineRule="auto" w:before="0"/>
    </w:pPr>
    <w:rPr>
      <w:rFonts w:ascii="Noto Sans CJK SC" w:hAnsi="Noto Sans CJK SC" w:eastAsia="Noto Sans CJK SC" w:cs="Noto Sans CJK SC"/>
      <w:color w:val="000000"/>
      <w:sz w:val="16"/>
      <w:szCs w:val="16"/>
      <w:b w:val="0"/>
      <w:bCs w:val="0"/>
      <w:u w:val="none"/>
      <w:lang w:val="en-US"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keepLines w:val="0"/>
      <w:widowControl/>
      <w:tabs>
        <w:tab w:val="center" w:pos="4680"/>
        <w:tab w:val="right" w:pos="9360"/>
      </w:tabs>
      <w:spacing w:after="0" w:line="240" w:lineRule="auto" w:before="0"/>
    </w:pPr>
    <w:rPr>
      <w:rFonts w:ascii="Noto Sans CJK SC" w:hAnsi="Noto Sans CJK SC" w:eastAsia="Noto Sans CJK SC" w:cs="Noto Sans CJK SC"/>
      <w:color w:val="000000"/>
      <w:sz w:val="17"/>
      <w:szCs w:val="17"/>
      <w:b w:val="0"/>
      <w:bCs w:val="0"/>
      <w:u w:val="none"/>
      <w:lang w:val="en-US"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60" w:after="120" w:line="269" w:lineRule="auto"/>
      <w:outlineLvl w:val="0"/>
    </w:pPr>
    <w:rPr>
      <w:rFonts w:ascii="Noto Sans CJK SC" w:hAnsi="Noto Sans CJK SC" w:eastAsia="Noto Sans CJK SC" w:cs="Noto Sans CJK SC"/>
      <w:b/>
      <w:bCs w:val="1"/>
      <w:color w:val="000000"/>
      <w:sz w:val="30"/>
      <w:szCs w:val="30"/>
      <w:u w:val="none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90" w:after="90" w:line="271" w:lineRule="auto"/>
      <w:outlineLvl w:val="1"/>
    </w:pPr>
    <w:rPr>
      <w:rFonts w:ascii="Noto Sans CJK SC" w:hAnsi="Noto Sans CJK SC" w:eastAsia="Noto Sans CJK SC" w:cs="Noto Sans CJK SC"/>
      <w:b/>
      <w:bCs w:val="1"/>
      <w:color w:val="000000"/>
      <w:sz w:val="24"/>
      <w:szCs w:val="24"/>
      <w:u w:val="none"/>
      <w:lang w:val="en-US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40" w:after="80" w:line="271" w:lineRule="auto"/>
      <w:outlineLvl w:val="2"/>
    </w:pPr>
    <w:rPr>
      <w:rFonts w:ascii="Noto Sans CJK SC" w:hAnsi="Noto Sans CJK SC" w:eastAsia="Noto Sans CJK SC" w:cs="Noto Sans CJK SC"/>
      <w:b/>
      <w:bCs w:val="1"/>
      <w:color w:val="000000"/>
      <w:sz w:val="22"/>
      <w:szCs w:val="22"/>
      <w:u w:val="none"/>
      <w:lang w:val="en-US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widowControl/>
      <w:spacing w:after="140" w:line="269" w:lineRule="auto" w:before="0"/>
      <w:contextualSpacing/>
    </w:pPr>
    <w:rPr>
      <w:rFonts w:ascii="Noto Sans CJK SC" w:hAnsi="Noto Sans CJK SC" w:eastAsia="Noto Sans CJK SC" w:cs="Noto Sans CJK SC"/>
      <w:color w:val="000000"/>
      <w:spacing w:val="5"/>
      <w:kern w:val="28"/>
      <w:sz w:val="42"/>
      <w:szCs w:val="42"/>
      <w:b/>
      <w:bCs w:val="1"/>
      <w:u w:val="none"/>
      <w:lang w:val="en-US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widowControl/>
      <w:numPr>
        <w:ilvl w:val="1"/>
      </w:numPr>
      <w:spacing w:before="0" w:after="200" w:line="269" w:lineRule="auto"/>
    </w:pPr>
    <w:rPr>
      <w:rFonts w:ascii="Noto Sans CJK SC" w:hAnsi="Noto Sans CJK SC" w:eastAsia="Noto Sans CJK SC" w:cs="Noto Sans CJK SC"/>
      <w:i/>
      <w:iCs/>
      <w:color w:val="000000"/>
      <w:spacing w:val="15"/>
      <w:sz w:val="19"/>
      <w:szCs w:val="19"/>
      <w:b w:val="0"/>
      <w:bCs w:val="0"/>
      <w:u w:val="none"/>
      <w:lang w:val="en-US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 w:val="0"/>
      <w:widowControl/>
      <w:numPr>
        <w:numId w:val="1"/>
      </w:numPr>
      <w:spacing w:before="0" w:after="80" w:line="278" w:lineRule="auto"/>
      <w:ind w:left="272" w:hanging="159"/>
      <w:contextualSpacing/>
    </w:pPr>
    <w:rPr>
      <w:rFonts w:ascii="Noto Sans CJK SC" w:hAnsi="Noto Sans CJK SC" w:eastAsia="Noto Sans CJK SC" w:cs="Noto Sans CJK SC"/>
      <w:color w:val="000000"/>
      <w:sz w:val="21"/>
      <w:szCs w:val="21"/>
      <w:b w:val="0"/>
      <w:bCs w:val="0"/>
      <w:u w:val="none"/>
      <w:lang w:val="en-US" w:eastAsia="zh-C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Lines w:val="0"/>
      <w:widowControl/>
      <w:numPr>
        <w:numId w:val="5"/>
      </w:numPr>
      <w:spacing w:before="0" w:after="80" w:line="278" w:lineRule="auto"/>
      <w:ind w:left="272" w:hanging="159"/>
      <w:contextualSpacing/>
    </w:pPr>
    <w:rPr>
      <w:rFonts w:ascii="Noto Sans CJK SC" w:hAnsi="Noto Sans CJK SC" w:eastAsia="Noto Sans CJK SC" w:cs="Noto Sans CJK SC"/>
      <w:color w:val="000000"/>
      <w:sz w:val="21"/>
      <w:szCs w:val="21"/>
      <w:b w:val="0"/>
      <w:bCs w:val="0"/>
      <w:u w:val="none"/>
      <w:lang w:val="en-US" w:eastAsia="zh-C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ilibili.com/video/BV1tE9XBbErS/" TargetMode="External"/><Relationship Id="rId12" Type="http://schemas.openxmlformats.org/officeDocument/2006/relationships/hyperlink" Target="https://www.bilibili.com/video/BV1SwGN68ETv/" TargetMode="External"/><Relationship Id="rId13" Type="http://schemas.openxmlformats.org/officeDocument/2006/relationships/hyperlink" Target="https://www.bilibili.com/video/BV1s63m66Eu8/" TargetMode="External"/><Relationship Id="rId14" Type="http://schemas.openxmlformats.org/officeDocument/2006/relationships/hyperlink" Target="https://www.bilibili.com/video/BV1tD4X6AE7Q/" TargetMode="External"/><Relationship Id="rId15" Type="http://schemas.openxmlformats.org/officeDocument/2006/relationships/hyperlink" Target="https://steamcommunity.com/sharedfiles/filedetails/?id=3817142308" TargetMode="External"/><Relationship Id="rId16" Type="http://schemas.openxmlformats.org/officeDocument/2006/relationships/hyperlink" Target="https://docs.unity3d.com/2022.3/Documentation/Manual/com.unity.ai.navigation.html" TargetMode="External"/><Relationship Id="rId17" Type="http://schemas.openxmlformats.org/officeDocument/2006/relationships/hyperlink" Target="https://docs.unity3d.com/Packages/com.unity.ai.navigation@1.1/manual/index.html" TargetMode="External"/><Relationship Id="rId18" Type="http://schemas.openxmlformats.org/officeDocument/2006/relationships/hyperlink" Target="https://developers.openai.com/api/docs/models" TargetMode="External"/><Relationship Id="rId19" Type="http://schemas.openxmlformats.org/officeDocument/2006/relationships/hyperlink" Target="https://platform.claude.com/docs/en/models/overview" TargetMode="External"/><Relationship Id="rId20" Type="http://schemas.openxmlformats.org/officeDocument/2006/relationships/hyperlink" Target="https://ai.google.dev/gemini-api/docs/models" TargetMode="External"/><Relationship Id="rId21" Type="http://schemas.openxmlformats.org/officeDocument/2006/relationships/hyperlink" Target="https://api-docs.deepseek.com/quick_start/pric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BlueArchive 小队搜打撤 系统需求文档</dc:title>
  <dc:subject>四加二小队战术指挥与搜打撤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