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role of artificial intelligence in sustainable transformation requires looking at both sides of the coin: </w:t>
      </w:r>
      <w:r w:rsidDel="00000000" w:rsidR="00000000" w:rsidRPr="00000000">
        <w:rPr>
          <w:rFonts w:ascii="Google Sans" w:cs="Google Sans" w:eastAsia="Google Sans" w:hAnsi="Google Sans"/>
          <w:b w:val="1"/>
          <w:bCs w:val="1"/>
          <w:color w:val="1f1f1f"/>
          <w:rtl w:val="0"/>
        </w:rPr>
        <w:t xml:space="preserve">greening of AI</w:t>
      </w:r>
      <w:r w:rsidDel="00000000" w:rsidR="00000000" w:rsidRPr="00000000">
        <w:rPr>
          <w:rFonts w:ascii="Google Sans" w:cs="Google Sans" w:eastAsia="Google Sans" w:hAnsi="Google Sans"/>
          <w:color w:val="1f1f1f"/>
          <w:rtl w:val="0"/>
        </w:rPr>
        <w:t xml:space="preserve"> (mitigating the environmental footprint of computation) and </w:t>
      </w:r>
      <w:r w:rsidDel="00000000" w:rsidR="00000000" w:rsidRPr="00000000">
        <w:rPr>
          <w:rFonts w:ascii="Google Sans" w:cs="Google Sans" w:eastAsia="Google Sans" w:hAnsi="Google Sans"/>
          <w:b w:val="1"/>
          <w:bCs w:val="1"/>
          <w:color w:val="1f1f1f"/>
          <w:rtl w:val="0"/>
        </w:rPr>
        <w:t xml:space="preserve">AI for greening</w:t>
      </w:r>
      <w:r w:rsidDel="00000000" w:rsidR="00000000" w:rsidRPr="00000000">
        <w:rPr>
          <w:rFonts w:ascii="Google Sans" w:cs="Google Sans" w:eastAsia="Google Sans" w:hAnsi="Google Sans"/>
          <w:color w:val="1f1f1f"/>
          <w:rtl w:val="0"/>
        </w:rPr>
        <w:t xml:space="preserve"> (leveraging AI algorithms to transform industries, energy grids, and ecological preservation).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an expanded breakdown of your initial 7 dimensions, along with 5 essential additional dimensions that complete the sustainable transformation framework:</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Sustainable AI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Sustainable AI focuses on the ethical, societal, and systemic longevity of artificial intelligence throughout its entire lifecycle. This discipline addresses algorithmic efficiency, social equity, fair labor across data-labeling supply chains, and preventing computational monopolies, ensuring AI technologies foster human well-being and equitable development without depleting resources or exacerbating societal inequalities.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Sustainable Energy for AI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training large neural networks and serving generative inference require substantial computing power, sustainable energy for AI focuses on how data centers procure and consume power. It entails shifting hyperscale facilities to 24/7 carbon-free energy sources (such as nuclear, geothermal, wind, and solar), co-locating data centers near renewable generation assets, and deploying AI algorithms to dynamically coordinate data workloads with renewable energy availability.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Environmentally Friendly AI (Green AI)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Environmentally friendly AI (often termed "Green AI") targets the technical engineering of models and hardware to minimize direct environmental damage. This involves algorithmic innovations such as model quantization, distillation, parameter-efficient fine-tuning (PEFT), and neuromorphic computing, as well as operational designs like closed-loop liquid cooling and responsible e-waste recycling to radically cut water usage and computational carbon emissions.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AI's Impact for Transforming Systems for a Sustainable Future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represents macro-level systems engineering where AI serves as the core orchestrator for structural decarbonization across society. Examples include autonomous smart grid balancing to eliminate renewable intermittency, multimodal traffic optimization to slash urban emissions, and real-time smart city management where heating, cooling, and resource flows dynamically self-regulate to drive planetary sustainability.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AI for Sustainable Businesses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AI acts as an enterprise intelligence engine to transition corporate operating models away from linear consumption toward long-term ESG viability. Businesses deploy predictive analytics to streamline reverse logistics, minimize raw material scrap, forecast product lifecycles, and design circular supply chains that cut operational overhead while systematically reducing direct Scope 1, 2, and 3 emissions.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Sustainable AI Service for Businesses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sustainable AI service model ensures that the SaaS, API, and cloud services delivered by vendors are architected to deliver measurable business utility without runaway operational or environmental costs. This encompasses transparent compute-cost accounting, multi-tenant resource optimization, carbon-aware cloud routing, and Service Level Agreements (SLAs) designed around efficient model right-sizing (e.g., routing simple queries to small language models instead of frontier LLMs).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Secure and Sustainable AI Protected from Cyber Threats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Sustainability requires long-term systemic resilience, which collapses if models are vulnerable to compromise. Secure and sustainable AI safeguards models against both external vectors (data poisoning, prompt injection, model inversion) and internal insider threats, preventing malicious actors from hijacking infrastructure, degrading model outputs, or sabotaging critical sustainable infrastructure like power grids or municipal water systems.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8. AI for Biodiversity, Conservation, and Climate Monitoring </w:t>
      </w:r>
      <w:r w:rsidDel="00000000" w:rsidR="00000000" w:rsidRPr="00000000">
        <w:rPr>
          <w:rFonts w:ascii="Google Sans" w:cs="Google Sans" w:eastAsia="Google Sans" w:hAnsi="Google Sans"/>
          <w:b w:val="1"/>
          <w:bCs w:val="1"/>
          <w:i w:val="1"/>
          <w:iCs w:val="1"/>
          <w:color w:val="1f1f1f"/>
          <w:sz w:val="28"/>
          <w:szCs w:val="28"/>
          <w:rtl w:val="0"/>
        </w:rPr>
        <w:t xml:space="preserve">(New)</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industrial applications, AI plays a pivotal role in planetary observation and ecological defense. Through computer vision and satellite sensor fusion, AI monitors deforestation, maps global tree canopy shifts, tracks endangered wildlife populations, and identifies illegal fishing or poaching in real time, serving as an automated guardian for ecosystems undergoing rapid environmental shifts.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9. AI for Climate Adaptation and Disaster Resilience </w:t>
      </w:r>
      <w:r w:rsidDel="00000000" w:rsidR="00000000" w:rsidRPr="00000000">
        <w:rPr>
          <w:rFonts w:ascii="Google Sans" w:cs="Google Sans" w:eastAsia="Google Sans" w:hAnsi="Google Sans"/>
          <w:b w:val="1"/>
          <w:bCs w:val="1"/>
          <w:i w:val="1"/>
          <w:iCs w:val="1"/>
          <w:color w:val="1f1f1f"/>
          <w:sz w:val="28"/>
          <w:szCs w:val="28"/>
          <w:rtl w:val="0"/>
        </w:rPr>
        <w:t xml:space="preserve">(New)</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Sustainable transformation must address climate realities that are already locked in. AI powers hyper-local predictive climate modeling, providing early warnings for catastrophic events such as flash floods, hurricanes, and wildfires. This grants municipalities, infrastructure operators, and vulnerable communities the lead time required to evacuate populations, shore up physical defenses, and reinforce regional resilience.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10. AI-Accelerated Materials Discovery and Green Chemistry </w:t>
      </w:r>
      <w:r w:rsidDel="00000000" w:rsidR="00000000" w:rsidRPr="00000000">
        <w:rPr>
          <w:rFonts w:ascii="Google Sans" w:cs="Google Sans" w:eastAsia="Google Sans" w:hAnsi="Google Sans"/>
          <w:b w:val="1"/>
          <w:bCs w:val="1"/>
          <w:i w:val="1"/>
          <w:iCs w:val="1"/>
          <w:color w:val="1f1f1f"/>
          <w:sz w:val="28"/>
          <w:szCs w:val="28"/>
          <w:rtl w:val="0"/>
        </w:rPr>
        <w:t xml:space="preserve">(New)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Decarbonizing heavy industry demands breakthroughs in fundamental chemistry and materials science. AI architectures like graph neural networks simulate atomic configurations in days rather than decades, expediting the discovery of non-toxic battery chemistries, room-temperature superconductors, carbon-capture membranes, and biodegradable plastics essential for circular economy transitions.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11. AI for Automated ESG Compliance and Carbon Accounting </w:t>
      </w:r>
      <w:r w:rsidDel="00000000" w:rsidR="00000000" w:rsidRPr="00000000">
        <w:rPr>
          <w:rFonts w:ascii="Google Sans" w:cs="Google Sans" w:eastAsia="Google Sans" w:hAnsi="Google Sans"/>
          <w:b w:val="1"/>
          <w:bCs w:val="1"/>
          <w:i w:val="1"/>
          <w:iCs w:val="1"/>
          <w:color w:val="1f1f1f"/>
          <w:sz w:val="28"/>
          <w:szCs w:val="28"/>
          <w:rtl w:val="0"/>
        </w:rPr>
        <w:t xml:space="preserve">(New)</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Accurate reporting and transparent disclosures are central to holding institutions accountable. AI streamlines the ingestion and auditing of complex, unstructured enterprise data—such as utility bills, logistics manifests, and supplier invoices—to automate carbon accounting under global standards (e.g., CSRD, ISSB), thereby eliminating corporate greenwashing through verifiable, auditable sustainability metrics.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12. Sociotechnical Governance and Policy Regulation for AI </w:t>
      </w:r>
      <w:r w:rsidDel="00000000" w:rsidR="00000000" w:rsidRPr="00000000">
        <w:rPr>
          <w:rFonts w:ascii="Google Sans" w:cs="Google Sans" w:eastAsia="Google Sans" w:hAnsi="Google Sans"/>
          <w:b w:val="1"/>
          <w:bCs w:val="1"/>
          <w:i w:val="1"/>
          <w:iCs w:val="1"/>
          <w:color w:val="1f1f1f"/>
          <w:sz w:val="28"/>
          <w:szCs w:val="28"/>
          <w:rtl w:val="0"/>
        </w:rPr>
        <w:t xml:space="preserve">(New)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truly sustainable transformation requires robust institutional guardrails to prevent technological lock-in, resource hoarding, and social displacement. This dimension establishes the regulatory, geopolitical, and ethical standards—such as mandatory computational footprint disclosure, copyright protection, workforce reskilling initiatives, and algorithmic accountability—needed to steer AI development toward public interest and shared ecological stewardship.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