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Sustainable Business Continuity using AI Digital Twins</w:t>
      </w:r>
      <w:r w:rsidDel="00000000" w:rsidR="00000000" w:rsidRPr="00000000">
        <w:rPr>
          <w:rFonts w:ascii="Google Sans" w:cs="Google Sans" w:eastAsia="Google Sans" w:hAnsi="Google Sans"/>
          <w:color w:val="1f1f1f"/>
          <w:rtl w:val="0"/>
        </w:rPr>
        <w:t xml:space="preserve"> redefines traditional disaster recovery and risk management. Instead of relying on static continuity playbooks and post-crisis recovery, an AI Digital Twin creates a dynamic, high-fidelity virtual mirror of an enterprise's physical assets, IT infrastructure, workflows, and global supply networks. It enables organizations to anticipate disruptions, optimize resource consumption, and maintain operational resilience without compromising ecological or economic sustainability.</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is how this integration transforms modern enterprise resilience:</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From Reactive Disaster Recovery to Predictive Foresight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Traditional Business Continuity Management (BCM) operates reactively—triggering failovers or alternate logistics routes only after an outage, cyberattack, or natural catastrophe occurs. AI Digital Twins continuously ingest IoT telemetry, geopolitical risk feeds, grid data, and weather patterns to model system stress before it manifests. By simulating failure cascades across complex interdependencies (such as a regional power failure impacting critical server racks or raw material nodes), the AI can autonomously pre-reroute operational loads or recommend early intervention before physical downtime ever happens.</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Eliminating Resource-Heavy Redundancy ("Lean Resilience")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Historically, business continuity meant building costly, carbon-intensive redundancy—such as spinning up duplicate, idle data centers ("hot sites") and maintaining massive buffer inventories in warehouses. An AI Digital Twin enables "algorithmic resilience" by dynamically stress-testing capacity across multi-tier networks. Rather than wasting energy and capital on oversized static backup facilities, organizations can optimize existing multi-cloud footprints and lean inventory buffers, cutting idle Scope 2 emissions and physical material waste while maintaining zero-interruption service levels.</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Climate-Adaptive Operations and Physical Risk Modeling</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extreme weather and resource volatility become primary threats to continuity, AI Digital Twins simulate real-time climate risks against corporate real estate, manufacturing plants, and logistics corridors. A twin of a factory or campus can evaluate flood risks, localized water stress, or grid blackouts during heatwaves, running autonomous scenarios to throttle energy consumption, shift power loads to on-site microgrids, or reroute production schedules to unaffected sister sites with minimal carbon-intensity spikes.</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Supply Chain Circularity and Disruption Rerouting</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Global logistics disruptions frequently force enterprises into high-emission emergency responses, such as expedited air freight or rushed single-use packaging. AI Digital Twins of end-to-end supply chains allow companies to simulate multi-tier supplier bottlenecks, port strikes, or trade embargoes in advance. The AI identifies low-carbon secondary logistics paths (e.g., optimized maritime or rail corridors instead of air freight) and orchestrates circular reverse logistics, ensuring the continuity of supply while keeping transport emissions and material landfill rates in check.</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Cyber-Resilient Infrastructure Simulation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Modern continuity plans must withstand sophisticated ransomware and critical infrastructure attacks. Pairing AI Digital Twins with cyber defense mechanisms creates an isolated, virtual sandbox that mirrors production enterprise environments. Security architects can safely run "what-if" ransomware simulations, test autonomous recovery protocols, and isolate compromised sub-networks within the twin—validating business-critical recovery paths without putting live operations or sensitive customer data at risk.</w:t>
      </w:r>
    </w:p>
    <w:p w:rsidR="00000000" w:rsidDel="00000000" w:rsidP="00000000" w:rsidRDefault="00000000" w:rsidRPr="00000000" w14:paraId="0000000D">
      <w:pPr>
        <w:pStyle w:val="Heading3"/>
        <w:spacing w:after="80" w:before="280" w:line="275.9999942779541" w:lineRule="auto"/>
        <w:rPr>
          <w:rFonts w:ascii="Google Sans" w:cs="Google Sans" w:eastAsia="Google Sans" w:hAnsi="Google Sans"/>
          <w:color w:val="1f1f1f"/>
          <w:sz w:val="26"/>
          <w:szCs w:val="26"/>
        </w:rPr>
      </w:pPr>
      <w:bookmarkStart w:colFirst="0" w:colLast="0" w:name="_eswfiza41e78" w:id="0"/>
      <w:bookmarkEnd w:id="0"/>
      <w:r w:rsidDel="00000000" w:rsidR="00000000" w:rsidRPr="00000000">
        <w:rPr>
          <w:rFonts w:ascii="Google Sans" w:cs="Google Sans" w:eastAsia="Google Sans" w:hAnsi="Google Sans"/>
          <w:color w:val="1f1f1f"/>
          <w:sz w:val="26"/>
          <w:szCs w:val="26"/>
          <w:rtl w:val="0"/>
        </w:rPr>
        <w:t xml:space="preserve">6. Human-Centric Workspace Resilience</w:t>
      </w:r>
    </w:p>
    <w:p w:rsidR="00000000" w:rsidDel="00000000" w:rsidP="00000000" w:rsidRDefault="00000000" w:rsidRPr="00000000" w14:paraId="0000000E">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Sustainable continuity must place human health, safety, and operational adaptability at its center. This sixth dimension uses AI Digital Twins to model and safeguard the human workforce under stress. During emergencies, the digital twin simulates workplace environmental factors (like heat, air quality, or hazardous conditions), orchestrates safe physical evacuation routes, and optimizes shift scheduling to prevent labor burnout.</w:t>
      </w:r>
    </w:p>
    <w:p w:rsidR="00000000" w:rsidDel="00000000" w:rsidP="00000000" w:rsidRDefault="00000000" w:rsidRPr="00000000" w14:paraId="0000000F">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It also facilitates remote, asynchronous operations through immersive digital collaborations—ensuring the frontline and back-office teams can continue working effectively, safely, and without exhaustion during systemic disruptions.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Core Value Matrix: Traditional BCM vs. AI Digital Twin Continuity</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Dimension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Traditional Business Continuity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AI Digital Twin Sustainable Continuity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Strategy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Reactive incident response &amp; post-event recovery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Predictive, autonomous stress-testing &amp; prevention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Asset Redundancy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Carbon-intensive idle hardware and excess stock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Dynamic, software-orchestrated resource sharing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Testing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Disruptive, semi-annual tabletop exercises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Continuous, non-intrusive 24/7 digital simulation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Environmental Cost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High-emission emergency pivots (e.g., air freight)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Carbon-optimized routing &amp; microgrid-aware failover</w:t>
            </w:r>
          </w:p>
        </w:tc>
      </w:tr>
    </w:tbl>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