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mplateSectionHeading"/>
        <w:jc w:val="left"/>
      </w:pPr>
      <w:r>
        <w:t>3. 数值比较</w:t>
      </w:r>
    </w:p>
    <w:p>
      <w:pPr>
        <w:keepNext/>
        <w:spacing w:before="0" w:after="100"/>
        <w:jc w:val="center"/>
      </w:pPr>
      <w:r>
        <w:rPr>
          <w:rFonts w:ascii="Times New Roman" w:hAnsi="Times New Roman" w:eastAsia="宋体"/>
          <w:b w:val="0"/>
          <w:color w:val="FF0000"/>
          <w:sz w:val="22"/>
        </w:rPr>
        <w:t>error = ||X</w:t>
      </w:r>
      <w:r>
        <w:rPr>
          <w:rFonts w:ascii="Times New Roman" w:hAnsi="Times New Roman" w:eastAsia="宋体"/>
          <w:b w:val="0"/>
          <w:color w:val="FF0000"/>
          <w:sz w:val="22"/>
          <w:vertAlign w:val="subscript"/>
        </w:rPr>
        <w:t>程序</w:t>
      </w:r>
      <w:r>
        <w:rPr>
          <w:rFonts w:ascii="Times New Roman" w:hAnsi="Times New Roman" w:eastAsia="宋体"/>
          <w:b w:val="0"/>
          <w:color w:val="FF0000"/>
          <w:sz w:val="22"/>
        </w:rPr>
        <w:t xml:space="preserve"> - X</w:t>
      </w:r>
      <w:r>
        <w:rPr>
          <w:rFonts w:ascii="Times New Roman" w:hAnsi="Times New Roman" w:eastAsia="宋体"/>
          <w:b w:val="0"/>
          <w:color w:val="FF0000"/>
          <w:sz w:val="22"/>
          <w:vertAlign w:val="subscript"/>
        </w:rPr>
        <w:t>Abaqus</w:t>
      </w:r>
      <w:r>
        <w:rPr>
          <w:rFonts w:ascii="Times New Roman" w:hAnsi="Times New Roman" w:eastAsia="宋体"/>
          <w:b w:val="0"/>
          <w:color w:val="FF0000"/>
          <w:sz w:val="22"/>
        </w:rPr>
        <w:t>||</w:t>
      </w:r>
      <w:r>
        <w:rPr>
          <w:rFonts w:ascii="Times New Roman" w:hAnsi="Times New Roman" w:eastAsia="宋体"/>
          <w:b w:val="0"/>
          <w:color w:val="FF0000"/>
          <w:sz w:val="22"/>
          <w:vertAlign w:val="subscript"/>
        </w:rPr>
        <w:t>2</w:t>
      </w:r>
      <w:r>
        <w:rPr>
          <w:rFonts w:ascii="Times New Roman" w:hAnsi="Times New Roman" w:eastAsia="宋体"/>
          <w:b w:val="0"/>
          <w:color w:val="FF0000"/>
          <w:sz w:val="22"/>
        </w:rPr>
        <w:t xml:space="preserve"> / ||X</w:t>
      </w:r>
      <w:r>
        <w:rPr>
          <w:rFonts w:ascii="Times New Roman" w:hAnsi="Times New Roman" w:eastAsia="宋体"/>
          <w:b w:val="0"/>
          <w:color w:val="FF0000"/>
          <w:sz w:val="22"/>
          <w:vertAlign w:val="subscript"/>
        </w:rPr>
        <w:t>Abaqus</w:t>
      </w:r>
      <w:r>
        <w:rPr>
          <w:rFonts w:ascii="Times New Roman" w:hAnsi="Times New Roman" w:eastAsia="宋体"/>
          <w:b w:val="0"/>
          <w:color w:val="FF0000"/>
          <w:sz w:val="22"/>
        </w:rPr>
        <w:t>||</w:t>
      </w:r>
      <w:r>
        <w:rPr>
          <w:rFonts w:ascii="Times New Roman" w:hAnsi="Times New Roman" w:eastAsia="宋体"/>
          <w:b w:val="0"/>
          <w:color w:val="FF0000"/>
          <w:sz w:val="22"/>
          <w:vertAlign w:val="subscript"/>
        </w:rPr>
        <w:t>2</w:t>
      </w:r>
    </w:p>
    <w:p>
      <w:pPr>
        <w:pStyle w:val="ComparisonTableCaption"/>
        <w:jc w:val="center"/>
      </w:pPr>
      <w:r>
        <w:t>[节点位移对比]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8"/>
        <w:gridCol w:w="1265"/>
        <w:gridCol w:w="2240"/>
        <w:gridCol w:w="2240"/>
        <w:gridCol w:w="2007"/>
      </w:tblGrid>
      <w:tr>
        <w:trPr>
          <w:cantSplit/>
          <w:tblHeader w:val="true"/>
        </w:trPr>
        <w:tc>
          <w:tcPr>
            <w:tcW w:type="dxa" w:w="2873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Abaqus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</w:t>
            </w:r>
          </w:p>
        </w:tc>
        <w:tc>
          <w:tcPr>
            <w:tcW w:type="dxa" w:w="200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全场误差</w:t>
            </w:r>
          </w:p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UMAG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1.776078e+01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1.776078e+01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1.953077e-08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8.151400e-34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0.000000e+00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1.110547e+01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1.110547e+01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2.470603e-08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-6.530023e-01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-6.530023e-01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4.370890e+00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4.370890e+00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2.578498e-08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-1.415522e+01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-1.415522e+01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2.678854e+00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2.678854e+00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2.530059e-08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-2.458777e+00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-2.458777e+00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</w:tbl>
    <w:p>
      <w:pPr>
        <w:spacing w:before="0" w:after="0" w:line="144" w:lineRule="auto"/>
      </w:pPr>
    </w:p>
    <w:p>
      <w:pPr>
        <w:pStyle w:val="ComparisonTableCaption"/>
        <w:jc w:val="center"/>
      </w:pPr>
      <w:r>
        <w:t>[节点应力对比]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8"/>
        <w:gridCol w:w="1265"/>
        <w:gridCol w:w="2240"/>
        <w:gridCol w:w="2240"/>
        <w:gridCol w:w="2007"/>
      </w:tblGrid>
      <w:tr>
        <w:trPr>
          <w:cantSplit/>
          <w:tblHeader w:val="true"/>
        </w:trPr>
        <w:tc>
          <w:tcPr>
            <w:tcW w:type="dxa" w:w="2873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Abaqus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</w:t>
            </w:r>
          </w:p>
        </w:tc>
        <w:tc>
          <w:tcPr>
            <w:tcW w:type="dxa" w:w="200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全场误差</w:t>
            </w:r>
          </w:p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Mises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1.781279e+04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1.781279e+04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3.936133e-08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5.088124e+00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5.088125e+00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4.920850e+03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4.920850e+03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2.529972e-08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-1.327367e+04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-1.327367e+04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4.976667e+03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4.976667e+03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2.527820e-08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-1.358818e+04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-1.358818e+04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3.002371e+03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3.002371e+03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2.543304e-08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-8.844631e+03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-8.844631e+03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5.506032e+03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5.506032e+03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2.551107e-08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-2.228924e+03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-2.228924e+03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3.206939e+03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3.206939e+03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2.530146e-08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-5.272838e+03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-5.272839e+03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1608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Max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6.484059e+03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6.484059e+03</w:t>
            </w:r>
          </w:p>
        </w:tc>
        <w:tc>
          <w:tcPr>
            <w:tcW w:type="dxa" w:w="2007"/>
            <w:vMerge w:val="restart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2.541514e-08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608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Min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-4.017857e+03</w:t>
            </w:r>
          </w:p>
        </w:tc>
        <w:tc>
          <w:tcPr>
            <w:tcW w:type="dxa" w:w="2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color="000000"/>
              <w:start w:val="nil"/>
              <w:end w:val="single" w:sz="4" w:color="000000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-4.017857e+03</w:t>
            </w:r>
          </w:p>
        </w:tc>
        <w:tc>
          <w:tcPr>
            <w:tcW w:type="dxa" w:w="2007"/>
            <w:vMerge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</w:tbl>
    <w:p>
      <w:pPr>
        <w:spacing w:before="100" w:after="0" w:line="252" w:lineRule="auto"/>
      </w:pPr>
      <w:r>
        <w:rPr>
          <w:rFonts w:ascii="Times New Roman" w:hAnsi="Times New Roman" w:eastAsia="宋体"/>
          <w:b w:val="0"/>
          <w:sz w:val="19"/>
        </w:rPr>
        <w:t>数值比较结果：节点位移共 31,167 条，节点应力共 533,292 条。位移全场误差为 1.953077e-08 至 2.578498e-08；应力分量全场误差为 2.527820e-08 至 2.551107e-08，Mises 全场误差为 3.936133e-08。</w:t>
      </w:r>
    </w:p>
    <w:sectPr w:rsidR="00FC693F" w:rsidRPr="0006063C" w:rsidSect="00034616">
      <w:pgSz w:w="11906" w:h="16838"/>
      <w:pgMar w:top="1247" w:right="1134" w:bottom="1020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SectionHeading">
    <w:name w:val="TemplateSectionHeading"/>
    <w:pPr>
      <w:keepNext/>
      <w:spacing w:before="0" w:after="120"/>
    </w:pPr>
    <w:rPr>
      <w:rFonts w:ascii="Times New Roman" w:hAnsi="Times New Roman" w:eastAsia="宋体"/>
      <w:b w:val="0"/>
      <w:color w:val="000000"/>
      <w:sz w:val="28"/>
    </w:rPr>
  </w:style>
  <w:style w:type="paragraph" w:customStyle="1" w:styleId="ComparisonTableCaption">
    <w:name w:val="ComparisonTableCaption"/>
    <w:pPr>
      <w:keepNext/>
      <w:spacing w:before="80" w:after="40"/>
      <w:jc w:val="center"/>
    </w:pPr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ComplicateCAEModel 数值比较</dc:title>
  <dc:subject>程序与 Abaqus 数值结果对比</dc:subject>
  <dc:creator>FEM-Python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