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1.3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9.7 공휴일표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일곱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탭 일곱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 (8장)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9~11장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238400" cy="21258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38400" cy="2125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다섯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할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4800" cy="212441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설정_차량관리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4800" cy="2124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 — 법인차량과 자차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연비는 환급량을 정하는 값입니다  </w:t>
      </w:r>
      <w:r>
        <w:rPr>
          <w:rFonts w:ascii="맑은 고딕" w:hAnsi="맑은 고딕" w:eastAsia="맑은 고딕" w:cs="맑은 고딕"/>
          <w:b w:val="0"/>
          <w:sz w:val="21"/>
        </w:rPr>
        <w:t>자차로 업무를 본 거리를 연비로 나눠 주유 한도를 냅니다. 그래서 연비를 바꾸는 권한은 대표이사에게 있습니다. 등록할 때 실제 연비를 적어 주십시오.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9.1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9.2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9.3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9.4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9.5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9.6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9.7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10.1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10.2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10.3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10.4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11.1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11.2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11.3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11.4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12.1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12.2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12.3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12.4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12.5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(9.6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