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pPr>
    </w:p>
    <w:p>
      <w:pPr>
        <w:pStyle w:val="2"/>
        <w:numPr>
          <w:ilvl w:val="0"/>
          <w:numId w:val="0"/>
        </w:numPr>
        <w:jc w:val="center"/>
      </w:pPr>
      <w:bookmarkStart w:id="0" w:name="_Toc90339015"/>
      <w:bookmarkStart w:id="1" w:name="_Toc9688"/>
      <w:bookmarkStart w:id="2" w:name="_Toc29369"/>
      <w:r>
        <w:rPr>
          <w:rFonts w:hint="eastAsia"/>
        </w:rPr>
        <w:t>摘要</w:t>
      </w:r>
      <w:bookmarkEnd w:id="0"/>
      <w:bookmarkEnd w:id="1"/>
      <w:bookmarkEnd w:id="2"/>
    </w:p>
    <w:p>
      <w:pPr>
        <w:pStyle w:val="37"/>
        <w:ind w:firstLine="560"/>
      </w:pPr>
      <w:r>
        <w:rPr>
          <w:rFonts w:hint="eastAsia"/>
        </w:rPr>
        <w:t>针对乡村振新和共同富裕，我们推出一套致力于辅助个体桑蚕养殖户的智能桑蚕养殖系统——《Silk Mate》。</w:t>
      </w:r>
    </w:p>
    <w:p>
      <w:pPr>
        <w:pStyle w:val="37"/>
        <w:ind w:firstLine="560"/>
      </w:pPr>
      <w:r>
        <w:rPr>
          <w:rFonts w:hint="eastAsia"/>
        </w:rPr>
        <w:t>本项目以Jetson Nano为嵌入式以及目标检测开发平台，能够采集蚕的复杂生长环境和发育状态和病虫害的干扰进行监控和预测。模型采用优化过后的yolo、ACRNN架构、针对桑蚕养殖业的特点，将蚕的状态分为蚕卵（Silkworm eggs）、蚁蚕（newly hatched silkworm）、一龄蚕（silkworm1）、二龄蚕（silkworm2）、三龄蚕（silkworm3）、四龄蚕（silkworm4）、五龄蚕（silkworm5）、蛹（silkworm pupa）五个不同阶段从图像方面进行预测并给出相应的检测结果和数据分析，搭建了基于目标检测的蚕养殖管理系统，最终实现蚕的状态检测、基本发育阶段分类、养殖环境调节、病虫害检测等功能。产品在给出相应的反馈的同时，针对夜间人员人力不足的状况，加入害虫的识别和预警，由摄像头识别后的图像处理成数据在用户的个人设备上显示报警，符合当今产品简易化、智能化的特点。</w:t>
      </w:r>
    </w:p>
    <w:p>
      <w:pPr>
        <w:pStyle w:val="37"/>
        <w:ind w:firstLine="560"/>
        <w:sectPr>
          <w:headerReference r:id="rId5" w:type="default"/>
          <w:footerReference r:id="rId6" w:type="default"/>
          <w:pgSz w:w="11906" w:h="16838"/>
          <w:pgMar w:top="1440" w:right="1800" w:bottom="1440" w:left="1800" w:header="851" w:footer="992" w:gutter="0"/>
          <w:cols w:space="425" w:num="1"/>
          <w:docGrid w:type="lines" w:linePitch="312" w:charSpace="0"/>
        </w:sectPr>
      </w:pPr>
      <w:r>
        <w:rPr>
          <w:rFonts w:hint="eastAsia"/>
        </w:rPr>
        <w:t>不仅如此，本产品易于操控、部署的特点使其更加适用于个人或集体养殖户。农村桑蚕养殖产业的发展存在市场风险大、专业农技人员少、劳动力人员少的特点；采用本产品可以有效提高桑蚕产品质量、降低从业人员技术要求、减少重复劳动力使用，在有效提高地区桑蚕行业经济效益的同时，助力可持续的乡村振兴，促进象征现代化和乡村人民生活富裕同时发展第三产业，符合乡村经济建设和农业振兴的国家经济发展战略，让传统手工业走上现代化、多样性、产业化特色发展之路。</w:t>
      </w:r>
    </w:p>
    <w:p>
      <w:pPr>
        <w:pStyle w:val="2"/>
        <w:numPr>
          <w:ilvl w:val="0"/>
          <w:numId w:val="0"/>
        </w:numPr>
        <w:jc w:val="center"/>
      </w:pPr>
      <w:bookmarkStart w:id="3" w:name="_Toc90339016"/>
      <w:r>
        <w:rPr>
          <w:rFonts w:hint="eastAsia"/>
        </w:rPr>
        <w:t>目录</w:t>
      </w:r>
      <w:bookmarkEnd w:id="3"/>
    </w:p>
    <w:sdt>
      <w:sdtPr>
        <w:rPr>
          <w:lang w:val="zh-CN"/>
        </w:rPr>
        <w:id w:val="736755864"/>
        <w:docPartObj>
          <w:docPartGallery w:val="Table of Contents"/>
          <w:docPartUnique/>
        </w:docPartObj>
      </w:sdtPr>
      <w:sdtEndPr>
        <w:rPr>
          <w:rFonts w:eastAsia="宋体" w:asciiTheme="minorHAnsi" w:hAnsiTheme="minorHAnsi" w:cstheme="minorBidi"/>
          <w:b/>
          <w:bCs/>
          <w:color w:val="auto"/>
          <w:kern w:val="2"/>
          <w:sz w:val="24"/>
          <w:szCs w:val="24"/>
          <w:lang w:val="zh-CN"/>
        </w:rPr>
      </w:sdtEndPr>
      <w:sdtContent>
        <w:p>
          <w:pPr>
            <w:pStyle w:val="41"/>
          </w:pPr>
          <w:r>
            <w:rPr>
              <w:lang w:val="zh-CN"/>
            </w:rPr>
            <w:t>目录</w:t>
          </w:r>
        </w:p>
        <w:p>
          <w:pPr>
            <w:tabs>
              <w:tab w:val="right" w:leader="dot" w:pos="8296"/>
            </w:tabs>
            <w:rPr>
              <w:rFonts w:eastAsiaTheme="minorEastAsia"/>
              <w:sz w:val="21"/>
              <w:szCs w:val="22"/>
            </w:rPr>
          </w:pPr>
          <w:r>
            <w:fldChar w:fldCharType="begin"/>
          </w:r>
          <w:r>
            <w:instrText xml:space="preserve"> TOC \o "1-3" \h \z \u </w:instrText>
          </w:r>
          <w:r>
            <w:fldChar w:fldCharType="separate"/>
          </w:r>
          <w:r>
            <w:fldChar w:fldCharType="begin"/>
          </w:r>
          <w:r>
            <w:instrText xml:space="preserve"> HYPERLINK \l "_Toc90339015" </w:instrText>
          </w:r>
          <w:r>
            <w:fldChar w:fldCharType="separate"/>
          </w:r>
          <w:r>
            <w:t>摘要</w:t>
          </w:r>
          <w:r>
            <w:tab/>
          </w:r>
          <w:r>
            <w:fldChar w:fldCharType="begin"/>
          </w:r>
          <w:r>
            <w:instrText xml:space="preserve"> PAGEREF _Toc90339015 \h </w:instrText>
          </w:r>
          <w:r>
            <w:fldChar w:fldCharType="separate"/>
          </w:r>
          <w:r>
            <w:t>1</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"_Toc90339016" </w:instrText>
          </w:r>
          <w:r>
            <w:fldChar w:fldCharType="separate"/>
          </w:r>
          <w:r>
            <w:t>目录</w:t>
          </w:r>
          <w:r>
            <w:tab/>
          </w:r>
          <w:r>
            <w:fldChar w:fldCharType="begin"/>
          </w:r>
          <w:r>
            <w:instrText xml:space="preserve"> PAGEREF _Toc90339016 \h </w:instrText>
          </w:r>
          <w:r>
            <w:fldChar w:fldCharType="separate"/>
          </w:r>
          <w:r>
            <w:t>2</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"_Toc90339017" </w:instrText>
          </w:r>
          <w:r>
            <w:fldChar w:fldCharType="separate"/>
          </w:r>
          <w:r>
            <w:t>图索引</w:t>
          </w:r>
          <w:r>
            <w:tab/>
          </w:r>
          <w:r>
            <w:fldChar w:fldCharType="begin"/>
          </w:r>
          <w:r>
            <w:instrText xml:space="preserve"> PAGEREF _Toc90339017 \h </w:instrText>
          </w:r>
          <w:r>
            <w:fldChar w:fldCharType="separate"/>
          </w:r>
          <w:r>
            <w:t>7</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"_Toc90339018" </w:instrText>
          </w:r>
          <w:r>
            <w:fldChar w:fldCharType="separate"/>
          </w:r>
          <w:r>
            <w:t>表索引</w:t>
          </w:r>
          <w:r>
            <w:tab/>
          </w:r>
          <w:r>
            <w:fldChar w:fldCharType="begin"/>
          </w:r>
          <w:r>
            <w:instrText xml:space="preserve"> PAGEREF _Toc90339018 \h </w:instrText>
          </w:r>
          <w:r>
            <w:fldChar w:fldCharType="separate"/>
          </w:r>
          <w:r>
            <w:t>8</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"_Toc90339019" </w:instrText>
          </w:r>
          <w:r>
            <w:fldChar w:fldCharType="separate"/>
          </w:r>
          <w:r>
            <w:rPr>
              <w:rFonts w:ascii="黑体" w:hAnsi="黑体" w:eastAsia="黑体"/>
            </w:rPr>
            <w:t>第1章 执行摘要</w:t>
          </w:r>
          <w:r>
            <w:tab/>
          </w:r>
          <w:r>
            <w:fldChar w:fldCharType="begin"/>
          </w:r>
          <w:r>
            <w:instrText xml:space="preserve"> PAGEREF _Toc90339019 \h </w:instrText>
          </w:r>
          <w:r>
            <w:fldChar w:fldCharType="separate"/>
          </w:r>
          <w:r>
            <w:t>9</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"_Toc90339020" </w:instrText>
          </w:r>
          <w:r>
            <w:fldChar w:fldCharType="separate"/>
          </w:r>
          <w:r>
            <w:t>1.1 项目简介</w:t>
          </w:r>
          <w:r>
            <w:tab/>
          </w:r>
          <w:r>
            <w:fldChar w:fldCharType="begin"/>
          </w:r>
          <w:r>
            <w:instrText xml:space="preserve"> PAGEREF _Toc90339020 \h </w:instrText>
          </w:r>
          <w:r>
            <w:fldChar w:fldCharType="separate"/>
          </w:r>
          <w:r>
            <w:t>9</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"_Toc90339021" </w:instrText>
          </w:r>
          <w:r>
            <w:fldChar w:fldCharType="separate"/>
          </w:r>
          <w:r>
            <w:t>1.2 技术简介</w:t>
          </w:r>
          <w:r>
            <w:tab/>
          </w:r>
          <w:r>
            <w:fldChar w:fldCharType="begin"/>
          </w:r>
          <w:r>
            <w:instrText xml:space="preserve"> PAGEREF _Toc90339021 \h </w:instrText>
          </w:r>
          <w:r>
            <w:fldChar w:fldCharType="separate"/>
          </w:r>
          <w:r>
            <w:t>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"_Toc90339022" </w:instrText>
          </w:r>
          <w:r>
            <w:fldChar w:fldCharType="separate"/>
          </w:r>
          <w:r>
            <w:t>1.2.1 硬件实现</w:t>
          </w:r>
          <w:r>
            <w:tab/>
          </w:r>
          <w:r>
            <w:fldChar w:fldCharType="begin"/>
          </w:r>
          <w:r>
            <w:instrText xml:space="preserve"> PAGEREF _Toc90339022 \h </w:instrText>
          </w:r>
          <w:r>
            <w:fldChar w:fldCharType="separate"/>
          </w:r>
          <w:r>
            <w:t>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"_Toc90339023" </w:instrText>
          </w:r>
          <w:r>
            <w:fldChar w:fldCharType="separate"/>
          </w:r>
          <w:r>
            <w:t>1.2.2 软件实现</w:t>
          </w:r>
          <w:r>
            <w:tab/>
          </w:r>
          <w:r>
            <w:fldChar w:fldCharType="begin"/>
          </w:r>
          <w:r>
            <w:instrText xml:space="preserve"> PAGEREF _Toc90339023 \h </w:instrText>
          </w:r>
          <w:r>
            <w:fldChar w:fldCharType="separate"/>
          </w:r>
          <w:r>
            <w:t>10</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"_Toc90339024" </w:instrText>
          </w:r>
          <w:r>
            <w:fldChar w:fldCharType="separate"/>
          </w:r>
          <w:r>
            <w:t>1.3 盈利模式</w:t>
          </w:r>
          <w:r>
            <w:tab/>
          </w:r>
          <w:r>
            <w:fldChar w:fldCharType="begin"/>
          </w:r>
          <w:r>
            <w:instrText xml:space="preserve"> PAGEREF _Toc90339024 \h </w:instrText>
          </w:r>
          <w:r>
            <w:fldChar w:fldCharType="separate"/>
          </w:r>
          <w:r>
            <w:t>10</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"_Toc90339025" </w:instrText>
          </w:r>
          <w:r>
            <w:fldChar w:fldCharType="separate"/>
          </w:r>
          <w:r>
            <w:rPr>
              <w:rFonts w:ascii="黑体" w:hAnsi="黑体" w:eastAsia="黑体"/>
            </w:rPr>
            <w:t>第2章 产品背景</w:t>
          </w:r>
          <w:r>
            <w:tab/>
          </w:r>
          <w:r>
            <w:fldChar w:fldCharType="begin"/>
          </w:r>
          <w:r>
            <w:instrText xml:space="preserve"> PAGEREF _Toc90339025 \h </w:instrText>
          </w:r>
          <w:r>
            <w:fldChar w:fldCharType="separate"/>
          </w:r>
          <w:r>
            <w:t>13</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"_Toc90339026" </w:instrText>
          </w:r>
          <w:r>
            <w:fldChar w:fldCharType="separate"/>
          </w:r>
          <w:r>
            <w:t>2.1 2.1市场背景</w:t>
          </w:r>
          <w:r>
            <w:tab/>
          </w:r>
          <w:r>
            <w:fldChar w:fldCharType="begin"/>
          </w:r>
          <w:r>
            <w:instrText xml:space="preserve"> PAGEREF _Toc90339026 \h </w:instrText>
          </w:r>
          <w:r>
            <w:fldChar w:fldCharType="separate"/>
          </w:r>
          <w:r>
            <w:t>13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"_Toc90339027" </w:instrText>
          </w:r>
          <w:r>
            <w:fldChar w:fldCharType="separate"/>
          </w:r>
          <w:r>
            <w:t>2.1.1 历史背景</w:t>
          </w:r>
          <w:r>
            <w:tab/>
          </w:r>
          <w:r>
            <w:fldChar w:fldCharType="begin"/>
          </w:r>
          <w:r>
            <w:instrText xml:space="preserve"> PAGEREF _Toc90339027 \h </w:instrText>
          </w:r>
          <w:r>
            <w:fldChar w:fldCharType="separate"/>
          </w:r>
          <w:r>
            <w:t>13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"_Toc90339028" </w:instrText>
          </w:r>
          <w:r>
            <w:fldChar w:fldCharType="separate"/>
          </w:r>
          <w:r>
            <w:t>2.1.2 现状分析</w:t>
          </w:r>
          <w:r>
            <w:tab/>
          </w:r>
          <w:r>
            <w:fldChar w:fldCharType="begin"/>
          </w:r>
          <w:r>
            <w:instrText xml:space="preserve"> PAGEREF _Toc90339028 \h </w:instrText>
          </w:r>
          <w:r>
            <w:fldChar w:fldCharType="separate"/>
          </w:r>
          <w:r>
            <w:t>13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"_Toc90339029" </w:instrText>
          </w:r>
          <w:r>
            <w:fldChar w:fldCharType="separate"/>
          </w:r>
          <w:r>
            <w:t>2.1.3 政治环境</w:t>
          </w:r>
          <w:r>
            <w:tab/>
          </w:r>
          <w:r>
            <w:fldChar w:fldCharType="begin"/>
          </w:r>
          <w:r>
            <w:instrText xml:space="preserve"> PAGEREF _Toc90339029 \h </w:instrText>
          </w:r>
          <w:r>
            <w:fldChar w:fldCharType="separate"/>
          </w:r>
          <w:r>
            <w:t>14</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"_Toc90339030" </w:instrText>
          </w:r>
          <w:r>
            <w:fldChar w:fldCharType="separate"/>
          </w:r>
          <w:r>
            <w:t>2.1.4 乡村振兴</w:t>
          </w:r>
          <w:r>
            <w:tab/>
          </w:r>
          <w:r>
            <w:fldChar w:fldCharType="begin"/>
          </w:r>
          <w:r>
            <w:instrText xml:space="preserve"> PAGEREF _Toc90339030 \h </w:instrText>
          </w:r>
          <w:r>
            <w:fldChar w:fldCharType="separate"/>
          </w:r>
          <w:r>
            <w:t>15</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"_Toc90339031" </w:instrText>
          </w:r>
          <w:r>
            <w:fldChar w:fldCharType="separate"/>
          </w:r>
          <w:r>
            <w:t>2.2 行业分析</w:t>
          </w:r>
          <w:r>
            <w:tab/>
          </w:r>
          <w:r>
            <w:fldChar w:fldCharType="begin"/>
          </w:r>
          <w:r>
            <w:instrText xml:space="preserve"> PAGEREF _Toc90339031 \h </w:instrText>
          </w:r>
          <w:r>
            <w:fldChar w:fldCharType="separate"/>
          </w:r>
          <w:r>
            <w:t>16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"_Toc90339032" </w:instrText>
          </w:r>
          <w:r>
            <w:fldChar w:fldCharType="separate"/>
          </w:r>
          <w:r>
            <w:t>2.2.1 产业容量</w:t>
          </w:r>
          <w:r>
            <w:tab/>
          </w:r>
          <w:r>
            <w:fldChar w:fldCharType="begin"/>
          </w:r>
          <w:r>
            <w:instrText xml:space="preserve"> PAGEREF _Toc90339032 \h </w:instrText>
          </w:r>
          <w:r>
            <w:fldChar w:fldCharType="separate"/>
          </w:r>
          <w:r>
            <w:t>16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"_Toc90339033" </w:instrText>
          </w:r>
          <w:r>
            <w:fldChar w:fldCharType="separate"/>
          </w:r>
          <w:r>
            <w:t>2.2.2 行业发展趋势</w:t>
          </w:r>
          <w:r>
            <w:tab/>
          </w:r>
          <w:r>
            <w:fldChar w:fldCharType="begin"/>
          </w:r>
          <w:r>
            <w:instrText xml:space="preserve"> PAGEREF _Toc90339033 \h </w:instrText>
          </w:r>
          <w:r>
            <w:fldChar w:fldCharType="separate"/>
          </w:r>
          <w:r>
            <w:t>16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"_Toc90339034" </w:instrText>
          </w:r>
          <w:r>
            <w:fldChar w:fldCharType="separate"/>
          </w:r>
          <w:r>
            <w:t>2.2.3 政策影响</w:t>
          </w:r>
          <w:r>
            <w:tab/>
          </w:r>
          <w:r>
            <w:fldChar w:fldCharType="begin"/>
          </w:r>
          <w:r>
            <w:instrText xml:space="preserve"> PAGEREF _Toc90339034 \h </w:instrText>
          </w:r>
          <w:r>
            <w:fldChar w:fldCharType="separate"/>
          </w:r>
          <w:r>
            <w:t>16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"_Toc90339035" </w:instrText>
          </w:r>
          <w:r>
            <w:fldChar w:fldCharType="separate"/>
          </w:r>
          <w:r>
            <w:t>2.2.4 技术发展对该行业的影响</w:t>
          </w:r>
          <w:r>
            <w:tab/>
          </w:r>
          <w:r>
            <w:fldChar w:fldCharType="begin"/>
          </w:r>
          <w:r>
            <w:instrText xml:space="preserve"> PAGEREF _Toc90339035 \h </w:instrText>
          </w:r>
          <w:r>
            <w:fldChar w:fldCharType="separate"/>
          </w:r>
          <w:r>
            <w:t>16</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"_Toc90339036" </w:instrText>
          </w:r>
          <w:r>
            <w:fldChar w:fldCharType="separate"/>
          </w:r>
          <w:r>
            <w:t>2.3 市场痛点</w:t>
          </w:r>
          <w:r>
            <w:tab/>
          </w:r>
          <w:r>
            <w:fldChar w:fldCharType="begin"/>
          </w:r>
          <w:r>
            <w:instrText xml:space="preserve"> PAGEREF _Toc90339036 \h </w:instrText>
          </w:r>
          <w:r>
            <w:fldChar w:fldCharType="separate"/>
          </w:r>
          <w:r>
            <w:t>17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"_Toc90339037" </w:instrText>
          </w:r>
          <w:r>
            <w:fldChar w:fldCharType="separate"/>
          </w:r>
          <w:r>
            <w:t>2.3.1 市场痛点</w:t>
          </w:r>
          <w:r>
            <w:tab/>
          </w:r>
          <w:r>
            <w:fldChar w:fldCharType="begin"/>
          </w:r>
          <w:r>
            <w:instrText xml:space="preserve"> PAGEREF _Toc90339037 \h </w:instrText>
          </w:r>
          <w:r>
            <w:fldChar w:fldCharType="separate"/>
          </w:r>
          <w:r>
            <w:t>17</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"_Toc90339038" </w:instrText>
          </w:r>
          <w:r>
            <w:fldChar w:fldCharType="separate"/>
          </w:r>
          <w:r>
            <w:t>2.4 新旧模式的优劣分析</w:t>
          </w:r>
          <w:r>
            <w:tab/>
          </w:r>
          <w:r>
            <w:fldChar w:fldCharType="begin"/>
          </w:r>
          <w:r>
            <w:instrText xml:space="preserve"> PAGEREF _Toc90339038 \h </w:instrText>
          </w:r>
          <w:r>
            <w:fldChar w:fldCharType="separate"/>
          </w:r>
          <w:r>
            <w:t>17</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"_Toc90339039" </w:instrText>
          </w:r>
          <w:r>
            <w:fldChar w:fldCharType="separate"/>
          </w:r>
          <w:r>
            <w:t>2.5 发展前景</w:t>
          </w:r>
          <w:r>
            <w:tab/>
          </w:r>
          <w:r>
            <w:fldChar w:fldCharType="begin"/>
          </w:r>
          <w:r>
            <w:instrText xml:space="preserve"> PAGEREF _Toc90339039 \h </w:instrText>
          </w:r>
          <w:r>
            <w:fldChar w:fldCharType="separate"/>
          </w:r>
          <w:r>
            <w:t>18</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"_Toc90339040" </w:instrText>
          </w:r>
          <w:r>
            <w:fldChar w:fldCharType="separate"/>
          </w:r>
          <w:r>
            <w:t>2.6 产品价值分析</w:t>
          </w:r>
          <w:r>
            <w:tab/>
          </w:r>
          <w:r>
            <w:fldChar w:fldCharType="begin"/>
          </w:r>
          <w:r>
            <w:instrText xml:space="preserve"> PAGEREF _Toc90339040 \h </w:instrText>
          </w:r>
          <w:r>
            <w:fldChar w:fldCharType="separate"/>
          </w:r>
          <w:r>
            <w:t>18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"_Toc90339041" </w:instrText>
          </w:r>
          <w:r>
            <w:fldChar w:fldCharType="separate"/>
          </w:r>
          <w:r>
            <w:t>2.6.1 产业价值</w:t>
          </w:r>
          <w:r>
            <w:tab/>
          </w:r>
          <w:r>
            <w:fldChar w:fldCharType="begin"/>
          </w:r>
          <w:r>
            <w:instrText xml:space="preserve"> PAGEREF _Toc90339041 \h </w:instrText>
          </w:r>
          <w:r>
            <w:fldChar w:fldCharType="separate"/>
          </w:r>
          <w:r>
            <w:t>18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"_Toc90339042" </w:instrText>
          </w:r>
          <w:r>
            <w:fldChar w:fldCharType="separate"/>
          </w:r>
          <w:r>
            <w:t>2.6.2 价值发展趋势</w:t>
          </w:r>
          <w:r>
            <w:tab/>
          </w:r>
          <w:r>
            <w:fldChar w:fldCharType="begin"/>
          </w:r>
          <w:r>
            <w:instrText xml:space="preserve"> PAGEREF _Toc90339042 \h </w:instrText>
          </w:r>
          <w:r>
            <w:fldChar w:fldCharType="separate"/>
          </w:r>
          <w:r>
            <w:t>19</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"_Toc90339043" </w:instrText>
          </w:r>
          <w:r>
            <w:fldChar w:fldCharType="separate"/>
          </w:r>
          <w:r>
            <w:rPr>
              <w:rFonts w:ascii="黑体" w:hAnsi="黑体" w:eastAsia="黑体"/>
            </w:rPr>
            <w:t>第3章 技术与功能</w:t>
          </w:r>
          <w:r>
            <w:tab/>
          </w:r>
          <w:r>
            <w:fldChar w:fldCharType="begin"/>
          </w:r>
          <w:r>
            <w:instrText xml:space="preserve"> PAGEREF _Toc90339043 \h </w:instrText>
          </w:r>
          <w:r>
            <w:fldChar w:fldCharType="separate"/>
          </w:r>
          <w:r>
            <w:t>21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"_Toc90339044" </w:instrText>
          </w:r>
          <w:r>
            <w:fldChar w:fldCharType="separate"/>
          </w:r>
          <w:r>
            <w:t>3.1 产品开发的主要流程</w:t>
          </w:r>
          <w:r>
            <w:tab/>
          </w:r>
          <w:r>
            <w:fldChar w:fldCharType="begin"/>
          </w:r>
          <w:r>
            <w:instrText xml:space="preserve"> PAGEREF _Toc90339044 \h </w:instrText>
          </w:r>
          <w:r>
            <w:fldChar w:fldCharType="separate"/>
          </w:r>
          <w:r>
            <w:t>21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"_Toc90339045" </w:instrText>
          </w:r>
          <w:r>
            <w:fldChar w:fldCharType="separate"/>
          </w:r>
          <w:r>
            <w:t>3.2 数据集</w:t>
          </w:r>
          <w:r>
            <w:tab/>
          </w:r>
          <w:r>
            <w:fldChar w:fldCharType="begin"/>
          </w:r>
          <w:r>
            <w:instrText xml:space="preserve"> PAGEREF _Toc90339045 \h </w:instrText>
          </w:r>
          <w:r>
            <w:fldChar w:fldCharType="separate"/>
          </w:r>
          <w:r>
            <w:t>21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"_Toc90339046" </w:instrText>
          </w:r>
          <w:r>
            <w:fldChar w:fldCharType="separate"/>
          </w:r>
          <w:r>
            <w:t>3.3 技术实现与创新</w:t>
          </w:r>
          <w:r>
            <w:tab/>
          </w:r>
          <w:r>
            <w:fldChar w:fldCharType="begin"/>
          </w:r>
          <w:r>
            <w:instrText xml:space="preserve"> PAGEREF _Toc90339046 \h </w:instrText>
          </w:r>
          <w:r>
            <w:fldChar w:fldCharType="separate"/>
          </w:r>
          <w:r>
            <w:t>22</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"_Toc90339047" </w:instrText>
          </w:r>
          <w:r>
            <w:fldChar w:fldCharType="separate"/>
          </w:r>
          <w:r>
            <w:t>3.3.1 神经网络创新</w:t>
          </w:r>
          <w:r>
            <w:tab/>
          </w:r>
          <w:r>
            <w:fldChar w:fldCharType="begin"/>
          </w:r>
          <w:r>
            <w:instrText xml:space="preserve"> PAGEREF _Toc90339047 \h </w:instrText>
          </w:r>
          <w:r>
            <w:fldChar w:fldCharType="separate"/>
          </w:r>
          <w:r>
            <w:t>22</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"_Toc90339048" </w:instrText>
          </w:r>
          <w:r>
            <w:fldChar w:fldCharType="separate"/>
          </w:r>
          <w:r>
            <w:t>3.3.2 嵌入式设备部署实现</w:t>
          </w:r>
          <w:r>
            <w:tab/>
          </w:r>
          <w:r>
            <w:fldChar w:fldCharType="begin"/>
          </w:r>
          <w:r>
            <w:instrText xml:space="preserve"> PAGEREF _Toc90339048 \h </w:instrText>
          </w:r>
          <w:r>
            <w:fldChar w:fldCharType="separate"/>
          </w:r>
          <w:r>
            <w:t>24</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"_Toc90339049" </w:instrText>
          </w:r>
          <w:r>
            <w:fldChar w:fldCharType="separate"/>
          </w:r>
          <w:r>
            <w:t>3.4 作品特色</w:t>
          </w:r>
          <w:r>
            <w:tab/>
          </w:r>
          <w:r>
            <w:fldChar w:fldCharType="begin"/>
          </w:r>
          <w:r>
            <w:instrText xml:space="preserve"> PAGEREF _Toc90339049 \h </w:instrText>
          </w:r>
          <w:r>
            <w:fldChar w:fldCharType="separate"/>
          </w:r>
          <w:r>
            <w:t>25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"_Toc90339050" </w:instrText>
          </w:r>
          <w:r>
            <w:fldChar w:fldCharType="separate"/>
          </w:r>
          <w:r>
            <w:t>3.4.1 农业养殖技术与信息技术相结合</w:t>
          </w:r>
          <w:r>
            <w:tab/>
          </w:r>
          <w:r>
            <w:fldChar w:fldCharType="begin"/>
          </w:r>
          <w:r>
            <w:instrText xml:space="preserve"> PAGEREF _Toc90339050 \h </w:instrText>
          </w:r>
          <w:r>
            <w:fldChar w:fldCharType="separate"/>
          </w:r>
          <w:r>
            <w:t>25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"_Toc90339051" </w:instrText>
          </w:r>
          <w:r>
            <w:fldChar w:fldCharType="separate"/>
          </w:r>
          <w:r>
            <w:t>3.4.2 AIoT和嵌入式和微信小程序相互结合</w:t>
          </w:r>
          <w:r>
            <w:tab/>
          </w:r>
          <w:r>
            <w:fldChar w:fldCharType="begin"/>
          </w:r>
          <w:r>
            <w:instrText xml:space="preserve"> PAGEREF _Toc90339051 \h </w:instrText>
          </w:r>
          <w:r>
            <w:fldChar w:fldCharType="separate"/>
          </w:r>
          <w:r>
            <w:t>25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"_Toc90339052" </w:instrText>
          </w:r>
          <w:r>
            <w:fldChar w:fldCharType="separate"/>
          </w:r>
          <w:r>
            <w:t>3.4.3 实时环境反馈与计算机视觉有机融合</w:t>
          </w:r>
          <w:r>
            <w:tab/>
          </w:r>
          <w:r>
            <w:fldChar w:fldCharType="begin"/>
          </w:r>
          <w:r>
            <w:instrText xml:space="preserve"> PAGEREF _Toc90339052 \h </w:instrText>
          </w:r>
          <w:r>
            <w:fldChar w:fldCharType="separate"/>
          </w:r>
          <w:r>
            <w:t>26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"_Toc90339053" </w:instrText>
          </w:r>
          <w:r>
            <w:fldChar w:fldCharType="separate"/>
          </w:r>
          <w:r>
            <w:t>3.4.4</w:t>
          </w:r>
          <w:r>
            <w:rPr>
              <w:lang w:bidi="ar"/>
            </w:rPr>
            <w:t xml:space="preserve"> 算法创新与优化</w:t>
          </w:r>
          <w:r>
            <w:tab/>
          </w:r>
          <w:r>
            <w:fldChar w:fldCharType="begin"/>
          </w:r>
          <w:r>
            <w:instrText xml:space="preserve"> PAGEREF _Toc90339053 \h </w:instrText>
          </w:r>
          <w:r>
            <w:fldChar w:fldCharType="separate"/>
          </w:r>
          <w:r>
            <w:t>26</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"_Toc90339054" </w:instrText>
          </w:r>
          <w:r>
            <w:fldChar w:fldCharType="separate"/>
          </w:r>
          <w:r>
            <w:t>3.5</w:t>
          </w:r>
          <w:r>
            <w:rPr>
              <w:lang w:bidi="ar"/>
            </w:rPr>
            <w:t xml:space="preserve"> 小程序介绍</w:t>
          </w:r>
          <w:r>
            <w:tab/>
          </w:r>
          <w:r>
            <w:fldChar w:fldCharType="begin"/>
          </w:r>
          <w:r>
            <w:instrText xml:space="preserve"> PAGEREF _Toc90339054 \h </w:instrText>
          </w:r>
          <w:r>
            <w:fldChar w:fldCharType="separate"/>
          </w:r>
          <w:r>
            <w:t>27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"_Toc90339055" </w:instrText>
          </w:r>
          <w:r>
            <w:fldChar w:fldCharType="separate"/>
          </w:r>
          <w:r>
            <w:t>3.5.1</w:t>
          </w:r>
          <w:r>
            <w:rPr>
              <w:lang w:bidi="ar"/>
            </w:rPr>
            <w:t xml:space="preserve"> 主页界面</w:t>
          </w:r>
          <w:r>
            <w:tab/>
          </w:r>
          <w:r>
            <w:fldChar w:fldCharType="begin"/>
          </w:r>
          <w:r>
            <w:instrText xml:space="preserve"> PAGEREF _Toc90339055 \h </w:instrText>
          </w:r>
          <w:r>
            <w:fldChar w:fldCharType="separate"/>
          </w:r>
          <w:r>
            <w:t>27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"_Toc90339056" </w:instrText>
          </w:r>
          <w:r>
            <w:fldChar w:fldCharType="separate"/>
          </w:r>
          <w:r>
            <w:t>3.5.2</w:t>
          </w:r>
          <w:r>
            <w:rPr>
              <w:lang w:bidi="ar"/>
            </w:rPr>
            <w:t xml:space="preserve"> 蚕桑监测功能</w:t>
          </w:r>
          <w:r>
            <w:tab/>
          </w:r>
          <w:r>
            <w:fldChar w:fldCharType="begin"/>
          </w:r>
          <w:r>
            <w:instrText xml:space="preserve"> PAGEREF _Toc90339056 \h </w:instrText>
          </w:r>
          <w:r>
            <w:fldChar w:fldCharType="separate"/>
          </w:r>
          <w:r>
            <w:t>27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"_Toc90339057" </w:instrText>
          </w:r>
          <w:r>
            <w:fldChar w:fldCharType="separate"/>
          </w:r>
          <w:r>
            <w:t>3.5.3</w:t>
          </w:r>
          <w:r>
            <w:rPr>
              <w:lang w:bidi="ar"/>
            </w:rPr>
            <w:t xml:space="preserve"> 日志分析功能</w:t>
          </w:r>
          <w:r>
            <w:tab/>
          </w:r>
          <w:r>
            <w:fldChar w:fldCharType="begin"/>
          </w:r>
          <w:r>
            <w:instrText xml:space="preserve"> PAGEREF _Toc90339057 \h </w:instrText>
          </w:r>
          <w:r>
            <w:fldChar w:fldCharType="separate"/>
          </w:r>
          <w:r>
            <w:t>28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"_Toc90339058" </w:instrText>
          </w:r>
          <w:r>
            <w:fldChar w:fldCharType="separate"/>
          </w:r>
          <w:r>
            <w:t>3.5.4</w:t>
          </w:r>
          <w:r>
            <w:rPr>
              <w:lang w:bidi="ar"/>
            </w:rPr>
            <w:t xml:space="preserve"> 专家知识功能</w:t>
          </w:r>
          <w:r>
            <w:tab/>
          </w:r>
          <w:r>
            <w:fldChar w:fldCharType="begin"/>
          </w:r>
          <w:r>
            <w:instrText xml:space="preserve"> PAGEREF _Toc90339058 \h </w:instrText>
          </w:r>
          <w:r>
            <w:fldChar w:fldCharType="separate"/>
          </w:r>
          <w:r>
            <w:t>29</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"_Toc90339059" </w:instrText>
          </w:r>
          <w:r>
            <w:fldChar w:fldCharType="separate"/>
          </w:r>
          <w:r>
            <w:t>3.6 软件著作权申请进行中</w:t>
          </w:r>
          <w:r>
            <w:tab/>
          </w:r>
          <w:r>
            <w:fldChar w:fldCharType="begin"/>
          </w:r>
          <w:r>
            <w:instrText xml:space="preserve"> PAGEREF _Toc90339059 \h </w:instrText>
          </w:r>
          <w:r>
            <w:fldChar w:fldCharType="separate"/>
          </w:r>
          <w:r>
            <w:t>30</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"_Toc90339060" </w:instrText>
          </w:r>
          <w:r>
            <w:fldChar w:fldCharType="separate"/>
          </w:r>
          <w:r>
            <w:rPr>
              <w:rFonts w:ascii="黑体" w:hAnsi="黑体" w:eastAsia="黑体"/>
            </w:rPr>
            <w:t>第4章 市场分析</w:t>
          </w:r>
          <w:r>
            <w:tab/>
          </w:r>
          <w:r>
            <w:fldChar w:fldCharType="begin"/>
          </w:r>
          <w:r>
            <w:instrText xml:space="preserve"> PAGEREF _Toc90339060 \h </w:instrText>
          </w:r>
          <w:r>
            <w:fldChar w:fldCharType="separate"/>
          </w:r>
          <w:r>
            <w:t>31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"_Toc90339061" </w:instrText>
          </w:r>
          <w:r>
            <w:fldChar w:fldCharType="separate"/>
          </w:r>
          <w:r>
            <w:t>4.1 基于PEST模型的市场分析</w:t>
          </w:r>
          <w:r>
            <w:tab/>
          </w:r>
          <w:r>
            <w:fldChar w:fldCharType="begin"/>
          </w:r>
          <w:r>
            <w:instrText xml:space="preserve"> PAGEREF _Toc90339061 \h </w:instrText>
          </w:r>
          <w:r>
            <w:fldChar w:fldCharType="separate"/>
          </w:r>
          <w:r>
            <w:t>31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"_Toc90339062" </w:instrText>
          </w:r>
          <w:r>
            <w:fldChar w:fldCharType="separate"/>
          </w:r>
          <w:r>
            <w:t>4.1.1 政策导向——政府扶持下的“新”蚕桑</w:t>
          </w:r>
          <w:r>
            <w:tab/>
          </w:r>
          <w:r>
            <w:fldChar w:fldCharType="begin"/>
          </w:r>
          <w:r>
            <w:instrText xml:space="preserve"> PAGEREF _Toc90339062 \h </w:instrText>
          </w:r>
          <w:r>
            <w:fldChar w:fldCharType="separate"/>
          </w:r>
          <w:r>
            <w:t>31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"_Toc90339063" </w:instrText>
          </w:r>
          <w:r>
            <w:fldChar w:fldCharType="separate"/>
          </w:r>
          <w:r>
            <w:t>4.1.2 经济潜力——蚕桑发展新态势</w:t>
          </w:r>
          <w:r>
            <w:tab/>
          </w:r>
          <w:r>
            <w:fldChar w:fldCharType="begin"/>
          </w:r>
          <w:r>
            <w:instrText xml:space="preserve"> PAGEREF _Toc90339063 \h </w:instrText>
          </w:r>
          <w:r>
            <w:fldChar w:fldCharType="separate"/>
          </w:r>
          <w:r>
            <w:t>32</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"_Toc90339064" </w:instrText>
          </w:r>
          <w:r>
            <w:fldChar w:fldCharType="separate"/>
          </w:r>
          <w:r>
            <w:t>4.1.3 社会成因——新旧因素共同影响</w:t>
          </w:r>
          <w:r>
            <w:tab/>
          </w:r>
          <w:r>
            <w:fldChar w:fldCharType="begin"/>
          </w:r>
          <w:r>
            <w:instrText xml:space="preserve"> PAGEREF _Toc90339064 \h </w:instrText>
          </w:r>
          <w:r>
            <w:fldChar w:fldCharType="separate"/>
          </w:r>
          <w:r>
            <w:t>35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"_Toc90339065" </w:instrText>
          </w:r>
          <w:r>
            <w:fldChar w:fldCharType="separate"/>
          </w:r>
          <w:r>
            <w:t>4.1.4 技术筑基——智能化农业时代</w:t>
          </w:r>
          <w:r>
            <w:tab/>
          </w:r>
          <w:r>
            <w:fldChar w:fldCharType="begin"/>
          </w:r>
          <w:r>
            <w:instrText xml:space="preserve"> PAGEREF _Toc90339065 \h </w:instrText>
          </w:r>
          <w:r>
            <w:fldChar w:fldCharType="separate"/>
          </w:r>
          <w:r>
            <w:t>35</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"_Toc90339066" </w:instrText>
          </w:r>
          <w:r>
            <w:fldChar w:fldCharType="separate"/>
          </w:r>
          <w:r>
            <w:t>4.2 产业环境优势分析</w:t>
          </w:r>
          <w:r>
            <w:tab/>
          </w:r>
          <w:r>
            <w:fldChar w:fldCharType="begin"/>
          </w:r>
          <w:r>
            <w:instrText xml:space="preserve"> PAGEREF _Toc90339066 \h </w:instrText>
          </w:r>
          <w:r>
            <w:fldChar w:fldCharType="separate"/>
          </w:r>
          <w:r>
            <w:t>36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"_Toc90339067" </w:instrText>
          </w:r>
          <w:r>
            <w:fldChar w:fldCharType="separate"/>
          </w:r>
          <w:r>
            <w:t>4.2.1</w:t>
          </w:r>
          <w:r>
            <w:rPr>
              <w:shd w:val="clear" w:color="auto" w:fill="FFFFFF"/>
            </w:rPr>
            <w:t xml:space="preserve"> 供应商——讨价还价能力弱</w:t>
          </w:r>
          <w:r>
            <w:tab/>
          </w:r>
          <w:r>
            <w:fldChar w:fldCharType="begin"/>
          </w:r>
          <w:r>
            <w:instrText xml:space="preserve"> PAGEREF _Toc90339067 \h </w:instrText>
          </w:r>
          <w:r>
            <w:fldChar w:fldCharType="separate"/>
          </w:r>
          <w:r>
            <w:t>36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"_Toc90339068" </w:instrText>
          </w:r>
          <w:r>
            <w:fldChar w:fldCharType="separate"/>
          </w:r>
          <w:r>
            <w:t>4.2.2</w:t>
          </w:r>
          <w:r>
            <w:rPr>
              <w:shd w:val="clear" w:color="auto" w:fill="FFFFFF"/>
            </w:rPr>
            <w:t xml:space="preserve"> 购买者——达成较好的价格协商</w:t>
          </w:r>
          <w:r>
            <w:tab/>
          </w:r>
          <w:r>
            <w:fldChar w:fldCharType="begin"/>
          </w:r>
          <w:r>
            <w:instrText xml:space="preserve"> PAGEREF _Toc90339068 \h </w:instrText>
          </w:r>
          <w:r>
            <w:fldChar w:fldCharType="separate"/>
          </w:r>
          <w:r>
            <w:t>36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"_Toc90339069" </w:instrText>
          </w:r>
          <w:r>
            <w:fldChar w:fldCharType="separate"/>
          </w:r>
          <w:r>
            <w:t>4.2.3</w:t>
          </w:r>
          <w:r>
            <w:rPr>
              <w:shd w:val="clear" w:color="auto" w:fill="FFFFFF"/>
            </w:rPr>
            <w:t xml:space="preserve"> 新进入者——进入壁垒难以突破</w:t>
          </w:r>
          <w:r>
            <w:tab/>
          </w:r>
          <w:r>
            <w:fldChar w:fldCharType="begin"/>
          </w:r>
          <w:r>
            <w:instrText xml:space="preserve"> PAGEREF _Toc90339069 \h </w:instrText>
          </w:r>
          <w:r>
            <w:fldChar w:fldCharType="separate"/>
          </w:r>
          <w:r>
            <w:t>37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"_Toc90339070" </w:instrText>
          </w:r>
          <w:r>
            <w:fldChar w:fldCharType="separate"/>
          </w:r>
          <w:r>
            <w:t>4.2.4</w:t>
          </w:r>
          <w:r>
            <w:rPr>
              <w:shd w:val="clear" w:color="auto" w:fill="FFFFFF"/>
            </w:rPr>
            <w:t xml:space="preserve"> 替代品——威胁在初创阶段不强</w:t>
          </w:r>
          <w:r>
            <w:tab/>
          </w:r>
          <w:r>
            <w:fldChar w:fldCharType="begin"/>
          </w:r>
          <w:r>
            <w:instrText xml:space="preserve"> PAGEREF _Toc90339070 \h </w:instrText>
          </w:r>
          <w:r>
            <w:fldChar w:fldCharType="separate"/>
          </w:r>
          <w:r>
            <w:t>37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"_Toc90339071" </w:instrText>
          </w:r>
          <w:r>
            <w:fldChar w:fldCharType="separate"/>
          </w:r>
          <w:r>
            <w:t>4.2.5</w:t>
          </w:r>
          <w:r>
            <w:rPr>
              <w:shd w:val="clear" w:color="auto" w:fill="FFFFFF"/>
            </w:rPr>
            <w:t xml:space="preserve"> 现有竞争者——行业空缺程度大</w:t>
          </w:r>
          <w:r>
            <w:tab/>
          </w:r>
          <w:r>
            <w:fldChar w:fldCharType="begin"/>
          </w:r>
          <w:r>
            <w:instrText xml:space="preserve"> PAGEREF _Toc90339071 \h </w:instrText>
          </w:r>
          <w:r>
            <w:fldChar w:fldCharType="separate"/>
          </w:r>
          <w:r>
            <w:t>38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"_Toc90339072" </w:instrText>
          </w:r>
          <w:r>
            <w:fldChar w:fldCharType="separate"/>
          </w:r>
          <w:r>
            <w:t>4.2.6</w:t>
          </w:r>
          <w:r>
            <w:rPr>
              <w:shd w:val="clear" w:color="auto" w:fill="FFFFFF"/>
            </w:rPr>
            <w:t xml:space="preserve"> 互补动力——捆绑销售推广</w:t>
          </w:r>
          <w:r>
            <w:tab/>
          </w:r>
          <w:r>
            <w:fldChar w:fldCharType="begin"/>
          </w:r>
          <w:r>
            <w:instrText xml:space="preserve"> PAGEREF _Toc90339072 \h </w:instrText>
          </w:r>
          <w:r>
            <w:fldChar w:fldCharType="separate"/>
          </w:r>
          <w:r>
            <w:t>38</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"_Toc90339073" </w:instrText>
          </w:r>
          <w:r>
            <w:fldChar w:fldCharType="separate"/>
          </w:r>
          <w:r>
            <w:t>4.3 目标市场</w:t>
          </w:r>
          <w:r>
            <w:tab/>
          </w:r>
          <w:r>
            <w:fldChar w:fldCharType="begin"/>
          </w:r>
          <w:r>
            <w:instrText xml:space="preserve"> PAGEREF _Toc90339073 \h </w:instrText>
          </w:r>
          <w:r>
            <w:fldChar w:fldCharType="separate"/>
          </w:r>
          <w:r>
            <w:t>39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"_Toc90339074" </w:instrText>
          </w:r>
          <w:r>
            <w:fldChar w:fldCharType="separate"/>
          </w:r>
          <w:r>
            <w:t>4.3.1 市场细分——产品消费者群体市场</w:t>
          </w:r>
          <w:r>
            <w:tab/>
          </w:r>
          <w:r>
            <w:fldChar w:fldCharType="begin"/>
          </w:r>
          <w:r>
            <w:instrText xml:space="preserve"> PAGEREF _Toc90339074 \h </w:instrText>
          </w:r>
          <w:r>
            <w:fldChar w:fldCharType="separate"/>
          </w:r>
          <w:r>
            <w:t>39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"_Toc90339075" </w:instrText>
          </w:r>
          <w:r>
            <w:fldChar w:fldCharType="separate"/>
          </w:r>
          <w:r>
            <w:t>4.3.2 目标市场</w:t>
          </w:r>
          <w:r>
            <w:tab/>
          </w:r>
          <w:r>
            <w:fldChar w:fldCharType="begin"/>
          </w:r>
          <w:r>
            <w:instrText xml:space="preserve"> PAGEREF _Toc90339075 \h </w:instrText>
          </w:r>
          <w:r>
            <w:fldChar w:fldCharType="separate"/>
          </w:r>
          <w:r>
            <w:t>42</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"_Toc90339076" </w:instrText>
          </w:r>
          <w:r>
            <w:fldChar w:fldCharType="separate"/>
          </w:r>
          <w:r>
            <w:t>4.3.3 市场定位</w:t>
          </w:r>
          <w:r>
            <w:tab/>
          </w:r>
          <w:r>
            <w:fldChar w:fldCharType="begin"/>
          </w:r>
          <w:r>
            <w:instrText xml:space="preserve"> PAGEREF _Toc90339076 \h </w:instrText>
          </w:r>
          <w:r>
            <w:fldChar w:fldCharType="separate"/>
          </w:r>
          <w:r>
            <w:t>42</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"_Toc90339077" </w:instrText>
          </w:r>
          <w:r>
            <w:fldChar w:fldCharType="separate"/>
          </w:r>
          <w:r>
            <w:t>4.4 竞争市场与市场需求</w:t>
          </w:r>
          <w:r>
            <w:tab/>
          </w:r>
          <w:r>
            <w:fldChar w:fldCharType="begin"/>
          </w:r>
          <w:r>
            <w:instrText xml:space="preserve"> PAGEREF _Toc90339077 \h </w:instrText>
          </w:r>
          <w:r>
            <w:fldChar w:fldCharType="separate"/>
          </w:r>
          <w:r>
            <w:t>43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"_Toc90339078" </w:instrText>
          </w:r>
          <w:r>
            <w:fldChar w:fldCharType="separate"/>
          </w:r>
          <w:r>
            <w:t>4.4.1 竞争市场——填补空白</w:t>
          </w:r>
          <w:r>
            <w:tab/>
          </w:r>
          <w:r>
            <w:fldChar w:fldCharType="begin"/>
          </w:r>
          <w:r>
            <w:instrText xml:space="preserve"> PAGEREF _Toc90339078 \h </w:instrText>
          </w:r>
          <w:r>
            <w:fldChar w:fldCharType="separate"/>
          </w:r>
          <w:r>
            <w:t>43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"_Toc90339079" </w:instrText>
          </w:r>
          <w:r>
            <w:fldChar w:fldCharType="separate"/>
          </w:r>
          <w:r>
            <w:t>4.4.2 市场需求——必然趋势</w:t>
          </w:r>
          <w:r>
            <w:tab/>
          </w:r>
          <w:r>
            <w:fldChar w:fldCharType="begin"/>
          </w:r>
          <w:r>
            <w:instrText xml:space="preserve"> PAGEREF _Toc90339079 \h </w:instrText>
          </w:r>
          <w:r>
            <w:fldChar w:fldCharType="separate"/>
          </w:r>
          <w:r>
            <w:t>44</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"_Toc90339080" </w:instrText>
          </w:r>
          <w:r>
            <w:fldChar w:fldCharType="separate"/>
          </w:r>
          <w:r>
            <w:rPr>
              <w:rFonts w:ascii="黑体" w:hAnsi="黑体" w:eastAsia="黑体"/>
            </w:rPr>
            <w:t>第5章 第五章公司管理</w:t>
          </w:r>
          <w:r>
            <w:tab/>
          </w:r>
          <w:r>
            <w:fldChar w:fldCharType="begin"/>
          </w:r>
          <w:r>
            <w:instrText xml:space="preserve"> PAGEREF _Toc90339080 \h </w:instrText>
          </w:r>
          <w:r>
            <w:fldChar w:fldCharType="separate"/>
          </w:r>
          <w:r>
            <w:t>45</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"_Toc90339081" </w:instrText>
          </w:r>
          <w:r>
            <w:fldChar w:fldCharType="separate"/>
          </w:r>
          <w:r>
            <w:t>5.1 关于Silk Mate</w:t>
          </w:r>
          <w:r>
            <w:tab/>
          </w:r>
          <w:r>
            <w:fldChar w:fldCharType="begin"/>
          </w:r>
          <w:r>
            <w:instrText xml:space="preserve"> PAGEREF _Toc90339081 \h </w:instrText>
          </w:r>
          <w:r>
            <w:fldChar w:fldCharType="separate"/>
          </w:r>
          <w:r>
            <w:t>45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"_Toc90339082" </w:instrText>
          </w:r>
          <w:r>
            <w:fldChar w:fldCharType="separate"/>
          </w:r>
          <w:r>
            <w:t>5.1.1 公司概况</w:t>
          </w:r>
          <w:r>
            <w:tab/>
          </w:r>
          <w:r>
            <w:fldChar w:fldCharType="begin"/>
          </w:r>
          <w:r>
            <w:instrText xml:space="preserve"> PAGEREF _Toc90339082 \h </w:instrText>
          </w:r>
          <w:r>
            <w:fldChar w:fldCharType="separate"/>
          </w:r>
          <w:r>
            <w:t>45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"_Toc90339083" </w:instrText>
          </w:r>
          <w:r>
            <w:fldChar w:fldCharType="separate"/>
          </w:r>
          <w:r>
            <w:t>5.1.2 公司文化</w:t>
          </w:r>
          <w:r>
            <w:tab/>
          </w:r>
          <w:r>
            <w:fldChar w:fldCharType="begin"/>
          </w:r>
          <w:r>
            <w:instrText xml:space="preserve"> PAGEREF _Toc90339083 \h </w:instrText>
          </w:r>
          <w:r>
            <w:fldChar w:fldCharType="separate"/>
          </w:r>
          <w:r>
            <w:t>45</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"_Toc90339084" </w:instrText>
          </w:r>
          <w:r>
            <w:fldChar w:fldCharType="separate"/>
          </w:r>
          <w:r>
            <w:t>5.2 公司架构</w:t>
          </w:r>
          <w:r>
            <w:tab/>
          </w:r>
          <w:r>
            <w:fldChar w:fldCharType="begin"/>
          </w:r>
          <w:r>
            <w:instrText xml:space="preserve"> PAGEREF _Toc90339084 \h </w:instrText>
          </w:r>
          <w:r>
            <w:fldChar w:fldCharType="separate"/>
          </w:r>
          <w:r>
            <w:t>45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"_Toc90339085" </w:instrText>
          </w:r>
          <w:r>
            <w:fldChar w:fldCharType="separate"/>
          </w:r>
          <w:r>
            <w:t>5.2.1 组织架构形式</w:t>
          </w:r>
          <w:r>
            <w:tab/>
          </w:r>
          <w:r>
            <w:fldChar w:fldCharType="begin"/>
          </w:r>
          <w:r>
            <w:instrText xml:space="preserve"> PAGEREF _Toc90339085 \h </w:instrText>
          </w:r>
          <w:r>
            <w:fldChar w:fldCharType="separate"/>
          </w:r>
          <w:r>
            <w:t>46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"_Toc90339086" </w:instrText>
          </w:r>
          <w:r>
            <w:fldChar w:fldCharType="separate"/>
          </w:r>
          <w:r>
            <w:t>5.2.2 组织结构图</w:t>
          </w:r>
          <w:r>
            <w:tab/>
          </w:r>
          <w:r>
            <w:fldChar w:fldCharType="begin"/>
          </w:r>
          <w:r>
            <w:instrText xml:space="preserve"> PAGEREF _Toc90339086 \h </w:instrText>
          </w:r>
          <w:r>
            <w:fldChar w:fldCharType="separate"/>
          </w:r>
          <w:r>
            <w:t>46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"_Toc90339087" </w:instrText>
          </w:r>
          <w:r>
            <w:fldChar w:fldCharType="separate"/>
          </w:r>
          <w:r>
            <w:t>5.2.3 各岗位职责</w:t>
          </w:r>
          <w:r>
            <w:tab/>
          </w:r>
          <w:r>
            <w:fldChar w:fldCharType="begin"/>
          </w:r>
          <w:r>
            <w:instrText xml:space="preserve"> PAGEREF _Toc90339087 \h </w:instrText>
          </w:r>
          <w:r>
            <w:fldChar w:fldCharType="separate"/>
          </w:r>
          <w:r>
            <w:t>46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"_Toc90339088" </w:instrText>
          </w:r>
          <w:r>
            <w:fldChar w:fldCharType="separate"/>
          </w:r>
          <w:r>
            <w:t>5.2.4 创业团队介绍</w:t>
          </w:r>
          <w:r>
            <w:tab/>
          </w:r>
          <w:r>
            <w:fldChar w:fldCharType="begin"/>
          </w:r>
          <w:r>
            <w:instrText xml:space="preserve"> PAGEREF _Toc90339088 \h </w:instrText>
          </w:r>
          <w:r>
            <w:fldChar w:fldCharType="separate"/>
          </w:r>
          <w:r>
            <w:t>47</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"_Toc90339089" </w:instrText>
          </w:r>
          <w:r>
            <w:fldChar w:fldCharType="separate"/>
          </w:r>
          <w:r>
            <w:t>5.2.5 公司主要职工介绍</w:t>
          </w:r>
          <w:r>
            <w:tab/>
          </w:r>
          <w:r>
            <w:fldChar w:fldCharType="begin"/>
          </w:r>
          <w:r>
            <w:instrText xml:space="preserve"> PAGEREF _Toc90339089 \h </w:instrText>
          </w:r>
          <w:r>
            <w:fldChar w:fldCharType="separate"/>
          </w:r>
          <w:r>
            <w:t>48</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"_Toc90339090" </w:instrText>
          </w:r>
          <w:r>
            <w:fldChar w:fldCharType="separate"/>
          </w:r>
          <w:r>
            <w:t>5.3 公司总体战略</w:t>
          </w:r>
          <w:r>
            <w:tab/>
          </w:r>
          <w:r>
            <w:fldChar w:fldCharType="begin"/>
          </w:r>
          <w:r>
            <w:instrText xml:space="preserve"> PAGEREF _Toc90339090 \h </w:instrText>
          </w:r>
          <w:r>
            <w:fldChar w:fldCharType="separate"/>
          </w:r>
          <w:r>
            <w:t>49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"_Toc90339091" </w:instrText>
          </w:r>
          <w:r>
            <w:fldChar w:fldCharType="separate"/>
          </w:r>
          <w:r>
            <w:t>5.3.1 发展初期</w:t>
          </w:r>
          <w:r>
            <w:tab/>
          </w:r>
          <w:r>
            <w:fldChar w:fldCharType="begin"/>
          </w:r>
          <w:r>
            <w:instrText xml:space="preserve"> PAGEREF _Toc90339091 \h </w:instrText>
          </w:r>
          <w:r>
            <w:fldChar w:fldCharType="separate"/>
          </w:r>
          <w:r>
            <w:t>49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"_Toc90339092" </w:instrText>
          </w:r>
          <w:r>
            <w:fldChar w:fldCharType="separate"/>
          </w:r>
          <w:r>
            <w:t>5.3.2 发展中期</w:t>
          </w:r>
          <w:r>
            <w:tab/>
          </w:r>
          <w:r>
            <w:fldChar w:fldCharType="begin"/>
          </w:r>
          <w:r>
            <w:instrText xml:space="preserve"> PAGEREF _Toc90339092 \h </w:instrText>
          </w:r>
          <w:r>
            <w:fldChar w:fldCharType="separate"/>
          </w:r>
          <w:r>
            <w:t>49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"_Toc90339093" </w:instrText>
          </w:r>
          <w:r>
            <w:fldChar w:fldCharType="separate"/>
          </w:r>
          <w:r>
            <w:t>5.3.3 发展后期</w:t>
          </w:r>
          <w:r>
            <w:tab/>
          </w:r>
          <w:r>
            <w:fldChar w:fldCharType="begin"/>
          </w:r>
          <w:r>
            <w:instrText xml:space="preserve"> PAGEREF _Toc90339093 \h </w:instrText>
          </w:r>
          <w:r>
            <w:fldChar w:fldCharType="separate"/>
          </w:r>
          <w:r>
            <w:t>50</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"_Toc90339094" </w:instrText>
          </w:r>
          <w:r>
            <w:fldChar w:fldCharType="separate"/>
          </w:r>
          <w:r>
            <w:rPr>
              <w:rFonts w:ascii="黑体" w:hAnsi="黑体" w:eastAsia="黑体"/>
            </w:rPr>
            <w:t>第6章 营销策略</w:t>
          </w:r>
          <w:r>
            <w:tab/>
          </w:r>
          <w:r>
            <w:fldChar w:fldCharType="begin"/>
          </w:r>
          <w:r>
            <w:instrText xml:space="preserve"> PAGEREF _Toc90339094 \h </w:instrText>
          </w:r>
          <w:r>
            <w:fldChar w:fldCharType="separate"/>
          </w:r>
          <w:r>
            <w:t>51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"_Toc90339095" </w:instrText>
          </w:r>
          <w:r>
            <w:fldChar w:fldCharType="separate"/>
          </w:r>
          <w:r>
            <w:t>6.1 营销策略综述</w:t>
          </w:r>
          <w:r>
            <w:tab/>
          </w:r>
          <w:r>
            <w:fldChar w:fldCharType="begin"/>
          </w:r>
          <w:r>
            <w:instrText xml:space="preserve"> PAGEREF _Toc90339095 \h </w:instrText>
          </w:r>
          <w:r>
            <w:fldChar w:fldCharType="separate"/>
          </w:r>
          <w:r>
            <w:t>51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"_Toc90339096" </w:instrText>
          </w:r>
          <w:r>
            <w:fldChar w:fldCharType="separate"/>
          </w:r>
          <w:r>
            <w:t>6.1.1 营销理念</w:t>
          </w:r>
          <w:r>
            <w:tab/>
          </w:r>
          <w:r>
            <w:fldChar w:fldCharType="begin"/>
          </w:r>
          <w:r>
            <w:instrText xml:space="preserve"> PAGEREF _Toc90339096 \h </w:instrText>
          </w:r>
          <w:r>
            <w:fldChar w:fldCharType="separate"/>
          </w:r>
          <w:r>
            <w:t>51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"_Toc90339097" </w:instrText>
          </w:r>
          <w:r>
            <w:fldChar w:fldCharType="separate"/>
          </w:r>
          <w:r>
            <w:t>6.1.2 总体方向</w:t>
          </w:r>
          <w:r>
            <w:tab/>
          </w:r>
          <w:r>
            <w:fldChar w:fldCharType="begin"/>
          </w:r>
          <w:r>
            <w:instrText xml:space="preserve"> PAGEREF _Toc90339097 \h </w:instrText>
          </w:r>
          <w:r>
            <w:fldChar w:fldCharType="separate"/>
          </w:r>
          <w:r>
            <w:t>51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"_Toc90339098" </w:instrText>
          </w:r>
          <w:r>
            <w:fldChar w:fldCharType="separate"/>
          </w:r>
          <w:r>
            <w:t>6.1.3 推广计划</w:t>
          </w:r>
          <w:r>
            <w:tab/>
          </w:r>
          <w:r>
            <w:fldChar w:fldCharType="begin"/>
          </w:r>
          <w:r>
            <w:instrText xml:space="preserve"> PAGEREF _Toc90339098 \h </w:instrText>
          </w:r>
          <w:r>
            <w:fldChar w:fldCharType="separate"/>
          </w:r>
          <w:r>
            <w:t>51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"_Toc90339099" </w:instrText>
          </w:r>
          <w:r>
            <w:fldChar w:fldCharType="separate"/>
          </w:r>
          <w:r>
            <w:t>6.2 产品策略（product）</w:t>
          </w:r>
          <w:r>
            <w:tab/>
          </w:r>
          <w:r>
            <w:fldChar w:fldCharType="begin"/>
          </w:r>
          <w:r>
            <w:instrText xml:space="preserve"> PAGEREF _Toc90339099 \h </w:instrText>
          </w:r>
          <w:r>
            <w:fldChar w:fldCharType="separate"/>
          </w:r>
          <w:r>
            <w:t>52</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"_Toc90339100" </w:instrText>
          </w:r>
          <w:r>
            <w:fldChar w:fldCharType="separate"/>
          </w:r>
          <w:r>
            <w:t>6.3 价格策略（price）</w:t>
          </w:r>
          <w:r>
            <w:tab/>
          </w:r>
          <w:r>
            <w:fldChar w:fldCharType="begin"/>
          </w:r>
          <w:r>
            <w:instrText xml:space="preserve"> PAGEREF _Toc90339100 \h </w:instrText>
          </w:r>
          <w:r>
            <w:fldChar w:fldCharType="separate"/>
          </w:r>
          <w:r>
            <w:t>53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"_Toc90339101" </w:instrText>
          </w:r>
          <w:r>
            <w:fldChar w:fldCharType="separate"/>
          </w:r>
          <w:r>
            <w:t>6.3.1</w:t>
          </w:r>
          <w:r>
            <w:rPr>
              <w:shd w:val="clear" w:color="auto" w:fill="FFFFFF"/>
            </w:rPr>
            <w:t xml:space="preserve"> 差别化定价</w:t>
          </w:r>
          <w:r>
            <w:tab/>
          </w:r>
          <w:r>
            <w:fldChar w:fldCharType="begin"/>
          </w:r>
          <w:r>
            <w:instrText xml:space="preserve"> PAGEREF _Toc90339101 \h </w:instrText>
          </w:r>
          <w:r>
            <w:fldChar w:fldCharType="separate"/>
          </w:r>
          <w:r>
            <w:t>53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"_Toc90339102" </w:instrText>
          </w:r>
          <w:r>
            <w:fldChar w:fldCharType="separate"/>
          </w:r>
          <w:r>
            <w:t>6.3.2</w:t>
          </w:r>
          <w:r>
            <w:rPr>
              <w:shd w:val="clear" w:color="auto" w:fill="FFFFFF"/>
            </w:rPr>
            <w:t xml:space="preserve"> 分期价格管理</w:t>
          </w:r>
          <w:r>
            <w:tab/>
          </w:r>
          <w:r>
            <w:fldChar w:fldCharType="begin"/>
          </w:r>
          <w:r>
            <w:instrText xml:space="preserve"> PAGEREF _Toc90339102 \h </w:instrText>
          </w:r>
          <w:r>
            <w:fldChar w:fldCharType="separate"/>
          </w:r>
          <w:r>
            <w:t>53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"_Toc90339103" </w:instrText>
          </w:r>
          <w:r>
            <w:fldChar w:fldCharType="separate"/>
          </w:r>
          <w:r>
            <w:t>6.3.3</w:t>
          </w:r>
          <w:r>
            <w:rPr>
              <w:shd w:val="clear" w:color="auto" w:fill="FFFFFF"/>
            </w:rPr>
            <w:t xml:space="preserve"> 定位高价</w:t>
          </w:r>
          <w:r>
            <w:tab/>
          </w:r>
          <w:r>
            <w:fldChar w:fldCharType="begin"/>
          </w:r>
          <w:r>
            <w:instrText xml:space="preserve"> PAGEREF _Toc90339103 \h </w:instrText>
          </w:r>
          <w:r>
            <w:fldChar w:fldCharType="separate"/>
          </w:r>
          <w:r>
            <w:t>53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"_Toc90339104" </w:instrText>
          </w:r>
          <w:r>
            <w:fldChar w:fldCharType="separate"/>
          </w:r>
          <w:r>
            <w:t>6.3.4</w:t>
          </w:r>
          <w:r>
            <w:rPr>
              <w:shd w:val="clear" w:color="auto" w:fill="FFFFFF"/>
            </w:rPr>
            <w:t xml:space="preserve"> 优惠策略</w:t>
          </w:r>
          <w:r>
            <w:tab/>
          </w:r>
          <w:r>
            <w:fldChar w:fldCharType="begin"/>
          </w:r>
          <w:r>
            <w:instrText xml:space="preserve"> PAGEREF _Toc90339104 \h </w:instrText>
          </w:r>
          <w:r>
            <w:fldChar w:fldCharType="separate"/>
          </w:r>
          <w:r>
            <w:t>54</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"_Toc90339105" </w:instrText>
          </w:r>
          <w:r>
            <w:fldChar w:fldCharType="separate"/>
          </w:r>
          <w:r>
            <w:t>6.4 渠道策略（place）</w:t>
          </w:r>
          <w:r>
            <w:tab/>
          </w:r>
          <w:r>
            <w:fldChar w:fldCharType="begin"/>
          </w:r>
          <w:r>
            <w:instrText xml:space="preserve"> PAGEREF _Toc90339105 \h </w:instrText>
          </w:r>
          <w:r>
            <w:fldChar w:fldCharType="separate"/>
          </w:r>
          <w:r>
            <w:t>54</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"_Toc90339106" </w:instrText>
          </w:r>
          <w:r>
            <w:fldChar w:fldCharType="separate"/>
          </w:r>
          <w:r>
            <w:t>6.4.1 渠道推动– 渠道推给客户</w:t>
          </w:r>
          <w:r>
            <w:tab/>
          </w:r>
          <w:r>
            <w:fldChar w:fldCharType="begin"/>
          </w:r>
          <w:r>
            <w:instrText xml:space="preserve"> PAGEREF _Toc90339106 \h </w:instrText>
          </w:r>
          <w:r>
            <w:fldChar w:fldCharType="separate"/>
          </w:r>
          <w:r>
            <w:t>54</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"_Toc90339107" </w:instrText>
          </w:r>
          <w:r>
            <w:fldChar w:fldCharType="separate"/>
          </w:r>
          <w:r>
            <w:t>6.4.2 品牌拉动- 让客户向我们买</w:t>
          </w:r>
          <w:r>
            <w:tab/>
          </w:r>
          <w:r>
            <w:fldChar w:fldCharType="begin"/>
          </w:r>
          <w:r>
            <w:instrText xml:space="preserve"> PAGEREF _Toc90339107 \h </w:instrText>
          </w:r>
          <w:r>
            <w:fldChar w:fldCharType="separate"/>
          </w:r>
          <w:r>
            <w:t>55</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"_Toc90339108" </w:instrText>
          </w:r>
          <w:r>
            <w:fldChar w:fldCharType="separate"/>
          </w:r>
          <w:r>
            <w:t>6.5 推广策略（Promotion）</w:t>
          </w:r>
          <w:r>
            <w:tab/>
          </w:r>
          <w:r>
            <w:fldChar w:fldCharType="begin"/>
          </w:r>
          <w:r>
            <w:instrText xml:space="preserve"> PAGEREF _Toc90339108 \h </w:instrText>
          </w:r>
          <w:r>
            <w:fldChar w:fldCharType="separate"/>
          </w:r>
          <w:r>
            <w:t>55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"_Toc90339109" </w:instrText>
          </w:r>
          <w:r>
            <w:fldChar w:fldCharType="separate"/>
          </w:r>
          <w:r>
            <w:t>6.5.1 体验式营销</w:t>
          </w:r>
          <w:r>
            <w:tab/>
          </w:r>
          <w:r>
            <w:fldChar w:fldCharType="begin"/>
          </w:r>
          <w:r>
            <w:instrText xml:space="preserve"> PAGEREF _Toc90339109 \h </w:instrText>
          </w:r>
          <w:r>
            <w:fldChar w:fldCharType="separate"/>
          </w:r>
          <w:r>
            <w:t>55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"_Toc90339110" </w:instrText>
          </w:r>
          <w:r>
            <w:fldChar w:fldCharType="separate"/>
          </w:r>
          <w:r>
            <w:t>6.5.2 个性化营销</w:t>
          </w:r>
          <w:r>
            <w:tab/>
          </w:r>
          <w:r>
            <w:fldChar w:fldCharType="begin"/>
          </w:r>
          <w:r>
            <w:instrText xml:space="preserve"> PAGEREF _Toc90339110 \h </w:instrText>
          </w:r>
          <w:r>
            <w:fldChar w:fldCharType="separate"/>
          </w:r>
          <w:r>
            <w:t>55</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"_Toc90339111" </w:instrText>
          </w:r>
          <w:r>
            <w:fldChar w:fldCharType="separate"/>
          </w:r>
          <w:r>
            <w:t>6.5.3 事件营销</w:t>
          </w:r>
          <w:r>
            <w:tab/>
          </w:r>
          <w:r>
            <w:fldChar w:fldCharType="begin"/>
          </w:r>
          <w:r>
            <w:instrText xml:space="preserve"> PAGEREF _Toc90339111 \h </w:instrText>
          </w:r>
          <w:r>
            <w:fldChar w:fldCharType="separate"/>
          </w:r>
          <w:r>
            <w:t>55</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"_Toc90339112" </w:instrText>
          </w:r>
          <w:r>
            <w:fldChar w:fldCharType="separate"/>
          </w:r>
          <w:r>
            <w:rPr>
              <w:rFonts w:ascii="黑体" w:hAnsi="黑体" w:eastAsia="黑体"/>
            </w:rPr>
            <w:t>第7章</w:t>
          </w:r>
          <w:r>
            <w:rPr>
              <w:rFonts w:ascii="黑体" w:hAnsi="黑体" w:eastAsia="黑体"/>
              <w:shd w:val="clear" w:color="auto" w:fill="FFFFFF"/>
            </w:rPr>
            <w:t xml:space="preserve"> 财务分析</w:t>
          </w:r>
          <w:r>
            <w:tab/>
          </w:r>
          <w:r>
            <w:fldChar w:fldCharType="begin"/>
          </w:r>
          <w:r>
            <w:instrText xml:space="preserve"> PAGEREF _Toc90339112 \h </w:instrText>
          </w:r>
          <w:r>
            <w:fldChar w:fldCharType="separate"/>
          </w:r>
          <w:r>
            <w:t>56</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"_Toc90339113" </w:instrText>
          </w:r>
          <w:r>
            <w:fldChar w:fldCharType="separate"/>
          </w:r>
          <w:r>
            <w:t>7.1 融资计划</w:t>
          </w:r>
          <w:r>
            <w:tab/>
          </w:r>
          <w:r>
            <w:fldChar w:fldCharType="begin"/>
          </w:r>
          <w:r>
            <w:instrText xml:space="preserve"> PAGEREF _Toc90339113 \h </w:instrText>
          </w:r>
          <w:r>
            <w:fldChar w:fldCharType="separate"/>
          </w:r>
          <w:r>
            <w:t>56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"_Toc90339114" </w:instrText>
          </w:r>
          <w:r>
            <w:fldChar w:fldCharType="separate"/>
          </w:r>
          <w:r>
            <w:t>7.1.1 前期融资方案</w:t>
          </w:r>
          <w:r>
            <w:tab/>
          </w:r>
          <w:r>
            <w:fldChar w:fldCharType="begin"/>
          </w:r>
          <w:r>
            <w:instrText xml:space="preserve"> PAGEREF _Toc90339114 \h </w:instrText>
          </w:r>
          <w:r>
            <w:fldChar w:fldCharType="separate"/>
          </w:r>
          <w:r>
            <w:t>56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"_Toc90339115" </w:instrText>
          </w:r>
          <w:r>
            <w:fldChar w:fldCharType="separate"/>
          </w:r>
          <w:r>
            <w:t>7.1.2 中期融资方案</w:t>
          </w:r>
          <w:r>
            <w:tab/>
          </w:r>
          <w:r>
            <w:fldChar w:fldCharType="begin"/>
          </w:r>
          <w:r>
            <w:instrText xml:space="preserve"> PAGEREF _Toc90339115 \h </w:instrText>
          </w:r>
          <w:r>
            <w:fldChar w:fldCharType="separate"/>
          </w:r>
          <w:r>
            <w:t>56</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"_Toc90339116" </w:instrText>
          </w:r>
          <w:r>
            <w:fldChar w:fldCharType="separate"/>
          </w:r>
          <w:r>
            <w:t>7.1.3 后期融资方案</w:t>
          </w:r>
          <w:r>
            <w:tab/>
          </w:r>
          <w:r>
            <w:fldChar w:fldCharType="begin"/>
          </w:r>
          <w:r>
            <w:instrText xml:space="preserve"> PAGEREF _Toc90339116 \h </w:instrText>
          </w:r>
          <w:r>
            <w:fldChar w:fldCharType="separate"/>
          </w:r>
          <w:r>
            <w:t>57</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"_Toc90339117" </w:instrText>
          </w:r>
          <w:r>
            <w:fldChar w:fldCharType="separate"/>
          </w:r>
          <w:r>
            <w:t>7.2 财务预测</w:t>
          </w:r>
          <w:r>
            <w:tab/>
          </w:r>
          <w:r>
            <w:fldChar w:fldCharType="begin"/>
          </w:r>
          <w:r>
            <w:instrText xml:space="preserve"> PAGEREF _Toc90339117 \h </w:instrText>
          </w:r>
          <w:r>
            <w:fldChar w:fldCharType="separate"/>
          </w:r>
          <w:r>
            <w:t>58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"_Toc90339118" </w:instrText>
          </w:r>
          <w:r>
            <w:fldChar w:fldCharType="separate"/>
          </w:r>
          <w:r>
            <w:t>7.2.1 基本财务假设</w:t>
          </w:r>
          <w:r>
            <w:tab/>
          </w:r>
          <w:r>
            <w:fldChar w:fldCharType="begin"/>
          </w:r>
          <w:r>
            <w:instrText xml:space="preserve"> PAGEREF _Toc90339118 \h </w:instrText>
          </w:r>
          <w:r>
            <w:fldChar w:fldCharType="separate"/>
          </w:r>
          <w:r>
            <w:t>58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"_Toc90339119" </w:instrText>
          </w:r>
          <w:r>
            <w:fldChar w:fldCharType="separate"/>
          </w:r>
          <w:r>
            <w:t>7.2.2 市场进入初期投资预测</w:t>
          </w:r>
          <w:r>
            <w:tab/>
          </w:r>
          <w:r>
            <w:fldChar w:fldCharType="begin"/>
          </w:r>
          <w:r>
            <w:instrText xml:space="preserve"> PAGEREF _Toc90339119 \h </w:instrText>
          </w:r>
          <w:r>
            <w:fldChar w:fldCharType="separate"/>
          </w:r>
          <w:r>
            <w:t>58</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"_Toc90339120" </w:instrText>
          </w:r>
          <w:r>
            <w:fldChar w:fldCharType="separate"/>
          </w:r>
          <w:r>
            <w:t>7.2.3 未来五年收支情况预测</w:t>
          </w:r>
          <w:r>
            <w:tab/>
          </w:r>
          <w:r>
            <w:fldChar w:fldCharType="begin"/>
          </w:r>
          <w:r>
            <w:instrText xml:space="preserve"> PAGEREF _Toc90339120 \h </w:instrText>
          </w:r>
          <w:r>
            <w:fldChar w:fldCharType="separate"/>
          </w:r>
          <w:r>
            <w:t>59</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"_Toc90339121" </w:instrText>
          </w:r>
          <w:r>
            <w:fldChar w:fldCharType="separate"/>
          </w:r>
          <w:r>
            <w:t>7.3 财务报表</w:t>
          </w:r>
          <w:r>
            <w:tab/>
          </w:r>
          <w:r>
            <w:fldChar w:fldCharType="begin"/>
          </w:r>
          <w:r>
            <w:instrText xml:space="preserve"> PAGEREF _Toc90339121 \h </w:instrText>
          </w:r>
          <w:r>
            <w:fldChar w:fldCharType="separate"/>
          </w:r>
          <w:r>
            <w:t>61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"_Toc90339122" </w:instrText>
          </w:r>
          <w:r>
            <w:fldChar w:fldCharType="separate"/>
          </w:r>
          <w:r>
            <w:rPr>
              <w:lang w:bidi="ar"/>
            </w:rPr>
            <w:t>7.3.1 预计利润表</w:t>
          </w:r>
          <w:r>
            <w:tab/>
          </w:r>
          <w:r>
            <w:fldChar w:fldCharType="begin"/>
          </w:r>
          <w:r>
            <w:instrText xml:space="preserve"> PAGEREF _Toc90339122 \h </w:instrText>
          </w:r>
          <w:r>
            <w:fldChar w:fldCharType="separate"/>
          </w:r>
          <w:r>
            <w:t>61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"_Toc90339123" </w:instrText>
          </w:r>
          <w:r>
            <w:fldChar w:fldCharType="separate"/>
          </w:r>
          <w:r>
            <w:rPr>
              <w:lang w:bidi="ar"/>
            </w:rPr>
            <w:t>7.3.2 预计资产负债表</w:t>
          </w:r>
          <w:r>
            <w:tab/>
          </w:r>
          <w:r>
            <w:fldChar w:fldCharType="begin"/>
          </w:r>
          <w:r>
            <w:instrText xml:space="preserve"> PAGEREF _Toc90339123 \h </w:instrText>
          </w:r>
          <w:r>
            <w:fldChar w:fldCharType="separate"/>
          </w:r>
          <w:r>
            <w:t>62</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"_Toc90339124" </w:instrText>
          </w:r>
          <w:r>
            <w:fldChar w:fldCharType="separate"/>
          </w:r>
          <w:r>
            <w:rPr>
              <w:lang w:bidi="ar"/>
            </w:rPr>
            <w:t>7.4 主要财务指标分析</w:t>
          </w:r>
          <w:r>
            <w:tab/>
          </w:r>
          <w:r>
            <w:fldChar w:fldCharType="begin"/>
          </w:r>
          <w:r>
            <w:instrText xml:space="preserve"> PAGEREF _Toc90339124 \h </w:instrText>
          </w:r>
          <w:r>
            <w:fldChar w:fldCharType="separate"/>
          </w:r>
          <w:r>
            <w:t>63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"_Toc90339125" </w:instrText>
          </w:r>
          <w:r>
            <w:fldChar w:fldCharType="separate"/>
          </w:r>
          <w:r>
            <w:t>7.4.1 基本财务目标</w:t>
          </w:r>
          <w:r>
            <w:tab/>
          </w:r>
          <w:r>
            <w:fldChar w:fldCharType="begin"/>
          </w:r>
          <w:r>
            <w:instrText xml:space="preserve"> PAGEREF _Toc90339125 \h </w:instrText>
          </w:r>
          <w:r>
            <w:fldChar w:fldCharType="separate"/>
          </w:r>
          <w:r>
            <w:t>63</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"_Toc90339126" </w:instrText>
          </w:r>
          <w:r>
            <w:fldChar w:fldCharType="separate"/>
          </w:r>
          <w:r>
            <w:t>7.4.2 财务指标分析</w:t>
          </w:r>
          <w:r>
            <w:tab/>
          </w:r>
          <w:r>
            <w:fldChar w:fldCharType="begin"/>
          </w:r>
          <w:r>
            <w:instrText xml:space="preserve"> PAGEREF _Toc90339126 \h </w:instrText>
          </w:r>
          <w:r>
            <w:fldChar w:fldCharType="separate"/>
          </w:r>
          <w:r>
            <w:t>63</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"_Toc90339127" </w:instrText>
          </w:r>
          <w:r>
            <w:fldChar w:fldCharType="separate"/>
          </w:r>
          <w:r>
            <w:rPr>
              <w:rFonts w:ascii="黑体" w:hAnsi="黑体" w:eastAsia="黑体"/>
            </w:rPr>
            <w:t>第8章</w:t>
          </w:r>
          <w:r>
            <w:rPr>
              <w:rFonts w:ascii="黑体" w:hAnsi="黑体" w:eastAsia="黑体"/>
              <w:shd w:val="clear" w:color="auto" w:fill="FFFFFF"/>
            </w:rPr>
            <w:t xml:space="preserve"> 生产运营</w:t>
          </w:r>
          <w:r>
            <w:tab/>
          </w:r>
          <w:r>
            <w:fldChar w:fldCharType="begin"/>
          </w:r>
          <w:r>
            <w:instrText xml:space="preserve"> PAGEREF _Toc90339127 \h </w:instrText>
          </w:r>
          <w:r>
            <w:fldChar w:fldCharType="separate"/>
          </w:r>
          <w:r>
            <w:t>66</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"_Toc90339128" </w:instrText>
          </w:r>
          <w:r>
            <w:fldChar w:fldCharType="separate"/>
          </w:r>
          <w:r>
            <w:t>8.1</w:t>
          </w:r>
          <w:r>
            <w:rPr>
              <w:shd w:val="clear" w:color="auto" w:fill="FFFFFF"/>
            </w:rPr>
            <w:t xml:space="preserve"> 厂址选择</w:t>
          </w:r>
          <w:r>
            <w:tab/>
          </w:r>
          <w:r>
            <w:fldChar w:fldCharType="begin"/>
          </w:r>
          <w:r>
            <w:instrText xml:space="preserve"> PAGEREF _Toc90339128 \h </w:instrText>
          </w:r>
          <w:r>
            <w:fldChar w:fldCharType="separate"/>
          </w:r>
          <w:r>
            <w:t>66</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"_Toc90339129" </w:instrText>
          </w:r>
          <w:r>
            <w:fldChar w:fldCharType="separate"/>
          </w:r>
          <w:r>
            <w:t>8.2</w:t>
          </w:r>
          <w:r>
            <w:rPr>
              <w:shd w:val="clear" w:color="auto" w:fill="FFFFFF"/>
            </w:rPr>
            <w:t xml:space="preserve"> 外包管理</w:t>
          </w:r>
          <w:r>
            <w:tab/>
          </w:r>
          <w:r>
            <w:fldChar w:fldCharType="begin"/>
          </w:r>
          <w:r>
            <w:instrText xml:space="preserve"> PAGEREF _Toc90339129 \h </w:instrText>
          </w:r>
          <w:r>
            <w:fldChar w:fldCharType="separate"/>
          </w:r>
          <w:r>
            <w:t>66</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"_Toc90339130" </w:instrText>
          </w:r>
          <w:r>
            <w:fldChar w:fldCharType="separate"/>
          </w:r>
          <w:r>
            <w:t>8.3</w:t>
          </w:r>
          <w:r>
            <w:rPr>
              <w:shd w:val="clear" w:color="auto" w:fill="FFFFFF"/>
            </w:rPr>
            <w:t xml:space="preserve"> 主要设计生产线布置</w:t>
          </w:r>
          <w:r>
            <w:tab/>
          </w:r>
          <w:r>
            <w:fldChar w:fldCharType="begin"/>
          </w:r>
          <w:r>
            <w:instrText xml:space="preserve"> PAGEREF _Toc90339130 \h </w:instrText>
          </w:r>
          <w:r>
            <w:fldChar w:fldCharType="separate"/>
          </w:r>
          <w:r>
            <w:t>67</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"_Toc90339131" </w:instrText>
          </w:r>
          <w:r>
            <w:fldChar w:fldCharType="separate"/>
          </w:r>
          <w:r>
            <w:t>8.4</w:t>
          </w:r>
          <w:r>
            <w:rPr>
              <w:shd w:val="clear" w:color="auto" w:fill="FFFFFF"/>
            </w:rPr>
            <w:t xml:space="preserve"> 质量管理</w:t>
          </w:r>
          <w:r>
            <w:tab/>
          </w:r>
          <w:r>
            <w:fldChar w:fldCharType="begin"/>
          </w:r>
          <w:r>
            <w:instrText xml:space="preserve"> PAGEREF _Toc90339131 \h </w:instrText>
          </w:r>
          <w:r>
            <w:fldChar w:fldCharType="separate"/>
          </w:r>
          <w:r>
            <w:t>68</w:t>
          </w:r>
          <w:r>
            <w:fldChar w:fldCharType="end"/>
          </w:r>
          <w:r>
            <w:fldChar w:fldCharType="end"/>
          </w:r>
        </w:p>
        <w:p>
          <w:pPr>
            <w:tabs>
              <w:tab w:val="right" w:leader="dot" w:pos="8296"/>
            </w:tabs>
            <w:rPr>
              <w:rFonts w:eastAsiaTheme="minorEastAsia"/>
              <w:sz w:val="21"/>
              <w:szCs w:val="22"/>
            </w:rPr>
          </w:pPr>
          <w:r>
            <w:fldChar w:fldCharType="begin"/>
          </w:r>
          <w:r>
            <w:instrText xml:space="preserve"> HYPERLINK \l "_Toc90339132" </w:instrText>
          </w:r>
          <w:r>
            <w:fldChar w:fldCharType="separate"/>
          </w:r>
          <w:r>
            <w:rPr>
              <w:rFonts w:ascii="黑体" w:hAnsi="黑体" w:eastAsia="黑体"/>
            </w:rPr>
            <w:t>第9章</w:t>
          </w:r>
          <w:r>
            <w:rPr>
              <w:rFonts w:ascii="黑体" w:hAnsi="黑体" w:eastAsia="黑体"/>
              <w:shd w:val="clear" w:color="auto" w:fill="FFFFFF"/>
            </w:rPr>
            <w:t xml:space="preserve"> 风险应对</w:t>
          </w:r>
          <w:r>
            <w:tab/>
          </w:r>
          <w:r>
            <w:fldChar w:fldCharType="begin"/>
          </w:r>
          <w:r>
            <w:instrText xml:space="preserve"> PAGEREF _Toc90339132 \h </w:instrText>
          </w:r>
          <w:r>
            <w:fldChar w:fldCharType="separate"/>
          </w:r>
          <w:r>
            <w:t>69</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"_Toc90339133" </w:instrText>
          </w:r>
          <w:r>
            <w:fldChar w:fldCharType="separate"/>
          </w:r>
          <w:r>
            <w:t>9.1</w:t>
          </w:r>
          <w:r>
            <w:rPr>
              <w:shd w:val="clear" w:color="auto" w:fill="FFFFFF"/>
            </w:rPr>
            <w:t xml:space="preserve"> 技术风险及策略</w:t>
          </w:r>
          <w:r>
            <w:tab/>
          </w:r>
          <w:r>
            <w:fldChar w:fldCharType="begin"/>
          </w:r>
          <w:r>
            <w:instrText xml:space="preserve"> PAGEREF _Toc90339133 \h </w:instrText>
          </w:r>
          <w:r>
            <w:fldChar w:fldCharType="separate"/>
          </w:r>
          <w:r>
            <w:t>69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"_Toc90339134" </w:instrText>
          </w:r>
          <w:r>
            <w:fldChar w:fldCharType="separate"/>
          </w:r>
          <w:r>
            <w:t>9.1.1</w:t>
          </w:r>
          <w:r>
            <w:rPr>
              <w:shd w:val="clear" w:color="auto" w:fill="FFFFFF"/>
            </w:rPr>
            <w:t xml:space="preserve"> 技术风险</w:t>
          </w:r>
          <w:r>
            <w:tab/>
          </w:r>
          <w:r>
            <w:fldChar w:fldCharType="begin"/>
          </w:r>
          <w:r>
            <w:instrText xml:space="preserve"> PAGEREF _Toc90339134 \h </w:instrText>
          </w:r>
          <w:r>
            <w:fldChar w:fldCharType="separate"/>
          </w:r>
          <w:r>
            <w:t>69</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"_Toc90339135" </w:instrText>
          </w:r>
          <w:r>
            <w:fldChar w:fldCharType="separate"/>
          </w:r>
          <w:r>
            <w:t>9.1.2</w:t>
          </w:r>
          <w:r>
            <w:rPr>
              <w:shd w:val="clear" w:color="auto" w:fill="FFFFFF"/>
            </w:rPr>
            <w:t xml:space="preserve"> 防范策略</w:t>
          </w:r>
          <w:r>
            <w:tab/>
          </w:r>
          <w:r>
            <w:fldChar w:fldCharType="begin"/>
          </w:r>
          <w:r>
            <w:instrText xml:space="preserve"> PAGEREF _Toc90339135 \h </w:instrText>
          </w:r>
          <w:r>
            <w:fldChar w:fldCharType="separate"/>
          </w:r>
          <w:r>
            <w:t>69</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"_Toc90339136" </w:instrText>
          </w:r>
          <w:r>
            <w:fldChar w:fldCharType="separate"/>
          </w:r>
          <w:r>
            <w:t>9.2</w:t>
          </w:r>
          <w:r>
            <w:rPr>
              <w:shd w:val="clear" w:color="auto" w:fill="FFFFFF"/>
            </w:rPr>
            <w:t xml:space="preserve"> 管理风险及策略</w:t>
          </w:r>
          <w:r>
            <w:tab/>
          </w:r>
          <w:r>
            <w:fldChar w:fldCharType="begin"/>
          </w:r>
          <w:r>
            <w:instrText xml:space="preserve"> PAGEREF _Toc90339136 \h </w:instrText>
          </w:r>
          <w:r>
            <w:fldChar w:fldCharType="separate"/>
          </w:r>
          <w:r>
            <w:t>70</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"_Toc90339137" </w:instrText>
          </w:r>
          <w:r>
            <w:fldChar w:fldCharType="separate"/>
          </w:r>
          <w:r>
            <w:t>9.2.1</w:t>
          </w:r>
          <w:r>
            <w:rPr>
              <w:shd w:val="clear" w:color="auto" w:fill="FFFFFF"/>
            </w:rPr>
            <w:t xml:space="preserve"> 管理风险</w:t>
          </w:r>
          <w:r>
            <w:tab/>
          </w:r>
          <w:r>
            <w:fldChar w:fldCharType="begin"/>
          </w:r>
          <w:r>
            <w:instrText xml:space="preserve"> PAGEREF _Toc90339137 \h </w:instrText>
          </w:r>
          <w:r>
            <w:fldChar w:fldCharType="separate"/>
          </w:r>
          <w:r>
            <w:t>70</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"_Toc90339138" </w:instrText>
          </w:r>
          <w:r>
            <w:fldChar w:fldCharType="separate"/>
          </w:r>
          <w:r>
            <w:t>9.2.2</w:t>
          </w:r>
          <w:r>
            <w:rPr>
              <w:shd w:val="clear" w:color="auto" w:fill="FFFFFF"/>
            </w:rPr>
            <w:t xml:space="preserve"> 防范策略</w:t>
          </w:r>
          <w:r>
            <w:tab/>
          </w:r>
          <w:r>
            <w:fldChar w:fldCharType="begin"/>
          </w:r>
          <w:r>
            <w:instrText xml:space="preserve"> PAGEREF _Toc90339138 \h </w:instrText>
          </w:r>
          <w:r>
            <w:fldChar w:fldCharType="separate"/>
          </w:r>
          <w:r>
            <w:t>70</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"_Toc90339139" </w:instrText>
          </w:r>
          <w:r>
            <w:fldChar w:fldCharType="separate"/>
          </w:r>
          <w:r>
            <w:t>9.3</w:t>
          </w:r>
          <w:r>
            <w:rPr>
              <w:shd w:val="clear" w:color="auto" w:fill="FFFFFF"/>
            </w:rPr>
            <w:t xml:space="preserve"> 市场风险及策略</w:t>
          </w:r>
          <w:r>
            <w:tab/>
          </w:r>
          <w:r>
            <w:fldChar w:fldCharType="begin"/>
          </w:r>
          <w:r>
            <w:instrText xml:space="preserve"> PAGEREF _Toc90339139 \h </w:instrText>
          </w:r>
          <w:r>
            <w:fldChar w:fldCharType="separate"/>
          </w:r>
          <w:r>
            <w:t>70</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"_Toc90339140" </w:instrText>
          </w:r>
          <w:r>
            <w:fldChar w:fldCharType="separate"/>
          </w:r>
          <w:r>
            <w:t>9.3.1</w:t>
          </w:r>
          <w:r>
            <w:rPr>
              <w:shd w:val="clear" w:color="auto" w:fill="FFFFFF"/>
            </w:rPr>
            <w:t xml:space="preserve"> 市场风险</w:t>
          </w:r>
          <w:r>
            <w:tab/>
          </w:r>
          <w:r>
            <w:fldChar w:fldCharType="begin"/>
          </w:r>
          <w:r>
            <w:instrText xml:space="preserve"> PAGEREF _Toc90339140 \h </w:instrText>
          </w:r>
          <w:r>
            <w:fldChar w:fldCharType="separate"/>
          </w:r>
          <w:r>
            <w:t>70</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"_Toc90339141" </w:instrText>
          </w:r>
          <w:r>
            <w:fldChar w:fldCharType="separate"/>
          </w:r>
          <w:r>
            <w:t>9.3.2</w:t>
          </w:r>
          <w:r>
            <w:rPr>
              <w:shd w:val="clear" w:color="auto" w:fill="FFFFFF"/>
            </w:rPr>
            <w:t xml:space="preserve"> 防范策略</w:t>
          </w:r>
          <w:r>
            <w:tab/>
          </w:r>
          <w:r>
            <w:fldChar w:fldCharType="begin"/>
          </w:r>
          <w:r>
            <w:instrText xml:space="preserve"> PAGEREF _Toc90339141 \h </w:instrText>
          </w:r>
          <w:r>
            <w:fldChar w:fldCharType="separate"/>
          </w:r>
          <w:r>
            <w:t>71</w:t>
          </w:r>
          <w:r>
            <w:fldChar w:fldCharType="end"/>
          </w:r>
          <w:r>
            <w:fldChar w:fldCharType="end"/>
          </w:r>
        </w:p>
        <w:p>
          <w:pPr>
            <w:tabs>
              <w:tab w:val="right" w:leader="dot" w:pos="8296"/>
            </w:tabs>
            <w:ind w:left="480"/>
            <w:rPr>
              <w:rFonts w:eastAsiaTheme="minorEastAsia"/>
              <w:sz w:val="21"/>
              <w:szCs w:val="22"/>
            </w:rPr>
          </w:pPr>
          <w:r>
            <w:fldChar w:fldCharType="begin"/>
          </w:r>
          <w:r>
            <w:instrText xml:space="preserve"> HYPERLINK \l "_Toc90339142" </w:instrText>
          </w:r>
          <w:r>
            <w:fldChar w:fldCharType="separate"/>
          </w:r>
          <w:r>
            <w:t>9.4</w:t>
          </w:r>
          <w:r>
            <w:rPr>
              <w:shd w:val="clear" w:color="auto" w:fill="FFFFFF"/>
            </w:rPr>
            <w:t xml:space="preserve"> 财务风险及策略</w:t>
          </w:r>
          <w:r>
            <w:tab/>
          </w:r>
          <w:r>
            <w:fldChar w:fldCharType="begin"/>
          </w:r>
          <w:r>
            <w:instrText xml:space="preserve"> PAGEREF _Toc90339142 \h </w:instrText>
          </w:r>
          <w:r>
            <w:fldChar w:fldCharType="separate"/>
          </w:r>
          <w:r>
            <w:t>71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"_Toc90339143" </w:instrText>
          </w:r>
          <w:r>
            <w:fldChar w:fldCharType="separate"/>
          </w:r>
          <w:r>
            <w:t>9.4.1</w:t>
          </w:r>
          <w:r>
            <w:rPr>
              <w:shd w:val="clear" w:color="auto" w:fill="FFFFFF"/>
            </w:rPr>
            <w:t xml:space="preserve"> 财务风险</w:t>
          </w:r>
          <w:r>
            <w:tab/>
          </w:r>
          <w:r>
            <w:fldChar w:fldCharType="begin"/>
          </w:r>
          <w:r>
            <w:instrText xml:space="preserve"> PAGEREF _Toc90339143 \h </w:instrText>
          </w:r>
          <w:r>
            <w:fldChar w:fldCharType="separate"/>
          </w:r>
          <w:r>
            <w:t>71</w:t>
          </w:r>
          <w:r>
            <w:fldChar w:fldCharType="end"/>
          </w:r>
          <w:r>
            <w:fldChar w:fldCharType="end"/>
          </w:r>
        </w:p>
        <w:p>
          <w:pPr>
            <w:tabs>
              <w:tab w:val="right" w:leader="dot" w:pos="8296"/>
            </w:tabs>
            <w:ind w:left="960"/>
            <w:rPr>
              <w:rFonts w:eastAsiaTheme="minorEastAsia"/>
              <w:sz w:val="21"/>
              <w:szCs w:val="22"/>
            </w:rPr>
          </w:pPr>
          <w:r>
            <w:fldChar w:fldCharType="begin"/>
          </w:r>
          <w:r>
            <w:instrText xml:space="preserve"> HYPERLINK \l "_Toc90339144" </w:instrText>
          </w:r>
          <w:r>
            <w:fldChar w:fldCharType="separate"/>
          </w:r>
          <w:r>
            <w:t>9.4.2</w:t>
          </w:r>
          <w:r>
            <w:rPr>
              <w:shd w:val="clear" w:color="auto" w:fill="FFFFFF"/>
            </w:rPr>
            <w:t xml:space="preserve"> 防范策略</w:t>
          </w:r>
          <w:r>
            <w:tab/>
          </w:r>
          <w:r>
            <w:fldChar w:fldCharType="begin"/>
          </w:r>
          <w:r>
            <w:instrText xml:space="preserve"> PAGEREF _Toc90339144 \h </w:instrText>
          </w:r>
          <w:r>
            <w:fldChar w:fldCharType="separate"/>
          </w:r>
          <w:r>
            <w:t>71</w:t>
          </w:r>
          <w:r>
            <w:fldChar w:fldCharType="end"/>
          </w:r>
          <w:r>
            <w:fldChar w:fldCharType="end"/>
          </w:r>
        </w:p>
        <w:p>
          <w:r>
            <w:rPr>
              <w:b/>
              <w:bCs/>
              <w:lang w:val="zh-CN"/>
            </w:rPr>
            <w:fldChar w:fldCharType="end"/>
          </w:r>
        </w:p>
      </w:sdtContent>
    </w:sdt>
    <w:p>
      <w:pPr>
        <w:sectPr>
          <w:pgSz w:w="11906" w:h="16838"/>
          <w:pgMar w:top="1440" w:right="1800" w:bottom="1440" w:left="1800" w:header="851" w:footer="992" w:gutter="0"/>
          <w:cols w:space="425" w:num="1"/>
          <w:docGrid w:type="lines" w:linePitch="312" w:charSpace="0"/>
        </w:sectPr>
      </w:pPr>
    </w:p>
    <w:p>
      <w:pPr>
        <w:pStyle w:val="2"/>
        <w:numPr>
          <w:ilvl w:val="0"/>
          <w:numId w:val="0"/>
        </w:numPr>
        <w:jc w:val="center"/>
      </w:pPr>
      <w:bookmarkStart w:id="4" w:name="_Toc90339017"/>
      <w:r>
        <w:rPr>
          <w:rFonts w:hint="eastAsia"/>
        </w:rPr>
        <w:t>图索引</w:t>
      </w:r>
      <w:bookmarkEnd w:id="4"/>
      <w:r>
        <w:fldChar w:fldCharType="begin"/>
      </w:r>
      <w:r>
        <w:instrText xml:space="preserve"> </w:instrText>
      </w:r>
      <w:r>
        <w:rPr>
          <w:rFonts w:hint="eastAsia"/>
        </w:rPr>
        <w:instrText xml:space="preserve">TOC \h \z \c "图表"</w:instrText>
      </w:r>
      <w:r>
        <w:instrText xml:space="preserve"> </w:instrText>
      </w:r>
      <w:r>
        <w:fldChar w:fldCharType="separate"/>
      </w:r>
    </w:p>
    <w:p>
      <w:pPr>
        <w:tabs>
          <w:tab w:val="right" w:leader="dot" w:pos="8296"/>
        </w:tabs>
        <w:ind w:left="960" w:hanging="480"/>
        <w:rPr>
          <w:rFonts w:eastAsiaTheme="minorEastAsia"/>
          <w:sz w:val="21"/>
          <w:szCs w:val="22"/>
        </w:rPr>
      </w:pPr>
      <w:r>
        <w:fldChar w:fldCharType="begin"/>
      </w:r>
      <w:r>
        <w:instrText xml:space="preserve"> HYPERLINK \l "_Toc90339145" </w:instrText>
      </w:r>
      <w:r>
        <w:fldChar w:fldCharType="separate"/>
      </w:r>
      <w:r>
        <w:t>图表 1</w:t>
      </w:r>
      <w:r>
        <w:rPr>
          <w:rFonts w:ascii="宋体" w:hAnsi="宋体" w:cs="宋体"/>
          <w:kern w:val="0"/>
          <w:lang w:bidi="ar"/>
        </w:rPr>
        <w:t>硬件图片</w:t>
      </w:r>
      <w:r>
        <w:tab/>
      </w:r>
      <w:r>
        <w:fldChar w:fldCharType="begin"/>
      </w:r>
      <w:r>
        <w:instrText xml:space="preserve"> PAGEREF _Toc90339145 \h </w:instrText>
      </w:r>
      <w:r>
        <w:fldChar w:fldCharType="separate"/>
      </w:r>
      <w:r>
        <w:t>10</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"_Toc90339146" </w:instrText>
      </w:r>
      <w:r>
        <w:fldChar w:fldCharType="separate"/>
      </w:r>
      <w:r>
        <w:t>图表 2</w:t>
      </w:r>
      <w:r>
        <w:rPr>
          <w:rFonts w:ascii="宋体" w:hAnsi="宋体" w:cs="仿宋"/>
        </w:rPr>
        <w:t>费用支出示意图</w:t>
      </w:r>
      <w:r>
        <w:tab/>
      </w:r>
      <w:r>
        <w:fldChar w:fldCharType="begin"/>
      </w:r>
      <w:r>
        <w:instrText xml:space="preserve"> PAGEREF _Toc90339146 \h </w:instrText>
      </w:r>
      <w:r>
        <w:fldChar w:fldCharType="separate"/>
      </w:r>
      <w:r>
        <w:t>11</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"_Toc90339147" </w:instrText>
      </w:r>
      <w:r>
        <w:fldChar w:fldCharType="separate"/>
      </w:r>
      <w:r>
        <w:t>图表 3</w:t>
      </w:r>
      <w:r>
        <w:rPr>
          <w:rFonts w:ascii="宋体" w:hAnsi="宋体" w:cs="仿宋"/>
        </w:rPr>
        <w:t>产品收入示意图</w:t>
      </w:r>
      <w:r>
        <w:tab/>
      </w:r>
      <w:r>
        <w:fldChar w:fldCharType="begin"/>
      </w:r>
      <w:r>
        <w:instrText xml:space="preserve"> PAGEREF _Toc90339147 \h </w:instrText>
      </w:r>
      <w:r>
        <w:fldChar w:fldCharType="separate"/>
      </w:r>
      <w:r>
        <w:t>12</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"_Toc90339148" </w:instrText>
      </w:r>
      <w:r>
        <w:fldChar w:fldCharType="separate"/>
      </w:r>
      <w:r>
        <w:t>图表 4</w:t>
      </w:r>
      <w:r>
        <w:tab/>
      </w:r>
      <w:r>
        <w:fldChar w:fldCharType="begin"/>
      </w:r>
      <w:r>
        <w:instrText xml:space="preserve"> PAGEREF _Toc90339148 \h </w:instrText>
      </w:r>
      <w:r>
        <w:fldChar w:fldCharType="separate"/>
      </w:r>
      <w:r>
        <w:t>21</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"_Toc90339149" </w:instrText>
      </w:r>
      <w:r>
        <w:fldChar w:fldCharType="separate"/>
      </w:r>
      <w:r>
        <w:t>图表 5</w:t>
      </w:r>
      <w:r>
        <w:tab/>
      </w:r>
      <w:r>
        <w:fldChar w:fldCharType="begin"/>
      </w:r>
      <w:r>
        <w:instrText xml:space="preserve"> PAGEREF _Toc90339149 \h </w:instrText>
      </w:r>
      <w:r>
        <w:fldChar w:fldCharType="separate"/>
      </w:r>
      <w:r>
        <w:t>22</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"_Toc90339150" </w:instrText>
      </w:r>
      <w:r>
        <w:fldChar w:fldCharType="separate"/>
      </w:r>
      <w:r>
        <w:t>图表 6</w:t>
      </w:r>
      <w:r>
        <w:rPr>
          <w:rFonts w:ascii="宋体" w:hAnsi="宋体"/>
        </w:rPr>
        <w:t>小程序</w:t>
      </w:r>
      <w:r>
        <w:tab/>
      </w:r>
      <w:r>
        <w:fldChar w:fldCharType="begin"/>
      </w:r>
      <w:r>
        <w:instrText xml:space="preserve"> PAGEREF _Toc90339150 \h </w:instrText>
      </w:r>
      <w:r>
        <w:fldChar w:fldCharType="separate"/>
      </w:r>
      <w:r>
        <w:t>27</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"_Toc90339151" </w:instrText>
      </w:r>
      <w:r>
        <w:fldChar w:fldCharType="separate"/>
      </w:r>
      <w:r>
        <w:t>图表 7</w:t>
      </w:r>
      <w:r>
        <w:rPr>
          <w:rFonts w:ascii="宋体" w:hAnsi="宋体"/>
        </w:rPr>
        <w:t>小程序</w:t>
      </w:r>
      <w:r>
        <w:tab/>
      </w:r>
      <w:r>
        <w:fldChar w:fldCharType="begin"/>
      </w:r>
      <w:r>
        <w:instrText xml:space="preserve"> PAGEREF _Toc90339151 \h </w:instrText>
      </w:r>
      <w:r>
        <w:fldChar w:fldCharType="separate"/>
      </w:r>
      <w:r>
        <w:t>28</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"_Toc90339152" </w:instrText>
      </w:r>
      <w:r>
        <w:fldChar w:fldCharType="separate"/>
      </w:r>
      <w:r>
        <w:t>图表 8</w:t>
      </w:r>
      <w:r>
        <w:rPr>
          <w:rFonts w:ascii="宋体" w:hAnsi="宋体" w:cs="仿宋"/>
        </w:rPr>
        <w:t>小程序</w:t>
      </w:r>
      <w:r>
        <w:tab/>
      </w:r>
      <w:r>
        <w:fldChar w:fldCharType="begin"/>
      </w:r>
      <w:r>
        <w:instrText xml:space="preserve"> PAGEREF _Toc90339152 \h </w:instrText>
      </w:r>
      <w:r>
        <w:fldChar w:fldCharType="separate"/>
      </w:r>
      <w:r>
        <w:t>29</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"_Toc90339153" </w:instrText>
      </w:r>
      <w:r>
        <w:fldChar w:fldCharType="separate"/>
      </w:r>
      <w:r>
        <w:t>图表 9</w:t>
      </w:r>
      <w:r>
        <w:rPr>
          <w:rFonts w:ascii="宋体" w:hAnsi="宋体"/>
        </w:rPr>
        <w:t>小程序</w:t>
      </w:r>
      <w:r>
        <w:tab/>
      </w:r>
      <w:r>
        <w:fldChar w:fldCharType="begin"/>
      </w:r>
      <w:r>
        <w:instrText xml:space="preserve"> PAGEREF _Toc90339153 \h </w:instrText>
      </w:r>
      <w:r>
        <w:fldChar w:fldCharType="separate"/>
      </w:r>
      <w:r>
        <w:t>30</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"_Toc90339154" </w:instrText>
      </w:r>
      <w:r>
        <w:fldChar w:fldCharType="separate"/>
      </w:r>
      <w:r>
        <w:t>图表 10</w:t>
      </w:r>
      <w:r>
        <w:rPr>
          <w:rFonts w:ascii="宋体" w:hAnsi="宋体"/>
        </w:rPr>
        <w:t>软件著作权申请</w:t>
      </w:r>
      <w:r>
        <w:tab/>
      </w:r>
      <w:r>
        <w:fldChar w:fldCharType="begin"/>
      </w:r>
      <w:r>
        <w:instrText xml:space="preserve"> PAGEREF _Toc90339154 \h </w:instrText>
      </w:r>
      <w:r>
        <w:fldChar w:fldCharType="separate"/>
      </w:r>
      <w:r>
        <w:t>30</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"_Toc90339155" </w:instrText>
      </w:r>
      <w:r>
        <w:fldChar w:fldCharType="separate"/>
      </w:r>
      <w:r>
        <w:t>图表 11</w:t>
      </w:r>
      <w:r>
        <w:rPr>
          <w:rFonts w:ascii="宋体" w:hAnsi="宋体" w:cs="仿宋"/>
        </w:rPr>
        <w:t>蚕茧产量变化趋势图</w:t>
      </w:r>
      <w:r>
        <w:tab/>
      </w:r>
      <w:r>
        <w:fldChar w:fldCharType="begin"/>
      </w:r>
      <w:r>
        <w:instrText xml:space="preserve"> PAGEREF _Toc90339155 \h </w:instrText>
      </w:r>
      <w:r>
        <w:fldChar w:fldCharType="separate"/>
      </w:r>
      <w:r>
        <w:t>33</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"_Toc90339156" </w:instrText>
      </w:r>
      <w:r>
        <w:fldChar w:fldCharType="separate"/>
      </w:r>
      <w:r>
        <w:t xml:space="preserve">图表 </w:t>
      </w:r>
      <w:r>
        <w:rPr>
          <w:rFonts w:ascii="宋体" w:hAnsi="宋体"/>
        </w:rPr>
        <w:t>12</w:t>
      </w:r>
      <w:r>
        <w:rPr>
          <w:rFonts w:ascii="宋体" w:hAnsi="宋体" w:cs="仿宋"/>
          <w:shd w:val="clear" w:color="auto" w:fill="FFFFFF"/>
        </w:rPr>
        <w:t>近年来桑园种植面积变化图</w:t>
      </w:r>
      <w:r>
        <w:tab/>
      </w:r>
      <w:r>
        <w:fldChar w:fldCharType="begin"/>
      </w:r>
      <w:r>
        <w:instrText xml:space="preserve"> PAGEREF _Toc90339156 \h </w:instrText>
      </w:r>
      <w:r>
        <w:fldChar w:fldCharType="separate"/>
      </w:r>
      <w:r>
        <w:t>34</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"_Toc90339157" </w:instrText>
      </w:r>
      <w:r>
        <w:fldChar w:fldCharType="separate"/>
      </w:r>
      <w:r>
        <w:rPr>
          <w:rFonts w:ascii="宋体" w:hAnsi="宋体"/>
        </w:rPr>
        <w:t xml:space="preserve">图表 13 </w:t>
      </w:r>
      <w:r>
        <w:rPr>
          <w:rFonts w:ascii="宋体" w:hAnsi="宋体" w:cs="仿宋"/>
        </w:rPr>
        <w:t>2013-2017年全国桑蚕茧成本收益情况</w:t>
      </w:r>
      <w:r>
        <w:tab/>
      </w:r>
      <w:r>
        <w:fldChar w:fldCharType="begin"/>
      </w:r>
      <w:r>
        <w:instrText xml:space="preserve"> PAGEREF _Toc90339157 \h </w:instrText>
      </w:r>
      <w:r>
        <w:fldChar w:fldCharType="separate"/>
      </w:r>
      <w:r>
        <w:t>34</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"_Toc90339158" </w:instrText>
      </w:r>
      <w:r>
        <w:fldChar w:fldCharType="separate"/>
      </w:r>
      <w:r>
        <w:t>图表 14</w:t>
      </w:r>
      <w:r>
        <w:tab/>
      </w:r>
      <w:r>
        <w:fldChar w:fldCharType="begin"/>
      </w:r>
      <w:r>
        <w:instrText xml:space="preserve"> PAGEREF _Toc90339158 \h </w:instrText>
      </w:r>
      <w:r>
        <w:fldChar w:fldCharType="separate"/>
      </w:r>
      <w:r>
        <w:t>37</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"_Toc90339159" </w:instrText>
      </w:r>
      <w:r>
        <w:fldChar w:fldCharType="separate"/>
      </w:r>
      <w:r>
        <w:t>图表 15</w:t>
      </w:r>
      <w:r>
        <w:tab/>
      </w:r>
      <w:r>
        <w:fldChar w:fldCharType="begin"/>
      </w:r>
      <w:r>
        <w:instrText xml:space="preserve"> PAGEREF _Toc90339159 \h </w:instrText>
      </w:r>
      <w:r>
        <w:fldChar w:fldCharType="separate"/>
      </w:r>
      <w:r>
        <w:t>39</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"_Toc90339160" </w:instrText>
      </w:r>
      <w:r>
        <w:fldChar w:fldCharType="separate"/>
      </w:r>
      <w:r>
        <w:t>图表 16</w:t>
      </w:r>
      <w:r>
        <w:rPr>
          <w:rFonts w:ascii="宋体" w:hAnsi="宋体"/>
        </w:rPr>
        <w:t xml:space="preserve"> </w:t>
      </w:r>
      <w:r>
        <w:rPr>
          <w:rFonts w:ascii="宋体" w:hAnsi="宋体" w:cs="仿宋"/>
        </w:rPr>
        <w:t>1950—2015年我国6大蚕区蚕茧产量走势图</w:t>
      </w:r>
      <w:r>
        <w:tab/>
      </w:r>
      <w:r>
        <w:fldChar w:fldCharType="begin"/>
      </w:r>
      <w:r>
        <w:instrText xml:space="preserve"> PAGEREF _Toc90339160 \h </w:instrText>
      </w:r>
      <w:r>
        <w:fldChar w:fldCharType="separate"/>
      </w:r>
      <w:r>
        <w:t>40</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"_Toc90339161" </w:instrText>
      </w:r>
      <w:r>
        <w:fldChar w:fldCharType="separate"/>
      </w:r>
      <w:r>
        <w:t xml:space="preserve">图表 17 </w:t>
      </w:r>
      <w:r>
        <w:rPr>
          <w:rFonts w:ascii="宋体" w:hAnsi="宋体"/>
        </w:rPr>
        <w:t>市场细分</w:t>
      </w:r>
      <w:r>
        <w:tab/>
      </w:r>
      <w:r>
        <w:fldChar w:fldCharType="begin"/>
      </w:r>
      <w:r>
        <w:instrText xml:space="preserve"> PAGEREF _Toc90339161 \h </w:instrText>
      </w:r>
      <w:r>
        <w:fldChar w:fldCharType="separate"/>
      </w:r>
      <w:r>
        <w:t>40</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"_Toc90339162" </w:instrText>
      </w:r>
      <w:r>
        <w:fldChar w:fldCharType="separate"/>
      </w:r>
      <w:r>
        <w:t>图表 18</w:t>
      </w:r>
      <w:r>
        <w:rPr>
          <w:rFonts w:ascii="宋体" w:hAnsi="宋体" w:cs="仿宋"/>
          <w:shd w:val="clear" w:color="auto" w:fill="FFFFFF"/>
        </w:rPr>
        <w:t>各省蚕桑产量图</w:t>
      </w:r>
      <w:r>
        <w:tab/>
      </w:r>
      <w:r>
        <w:fldChar w:fldCharType="begin"/>
      </w:r>
      <w:r>
        <w:instrText xml:space="preserve"> PAGEREF _Toc90339162 \h </w:instrText>
      </w:r>
      <w:r>
        <w:fldChar w:fldCharType="separate"/>
      </w:r>
      <w:r>
        <w:t>42</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"_Toc90339163" </w:instrText>
      </w:r>
      <w:r>
        <w:fldChar w:fldCharType="separate"/>
      </w:r>
      <w:r>
        <w:t>图表 19</w:t>
      </w:r>
      <w:r>
        <w:rPr>
          <w:rFonts w:ascii="宋体" w:hAnsi="宋体"/>
        </w:rPr>
        <w:t>该阶段公司组织架构</w:t>
      </w:r>
      <w:r>
        <w:tab/>
      </w:r>
      <w:r>
        <w:fldChar w:fldCharType="begin"/>
      </w:r>
      <w:r>
        <w:instrText xml:space="preserve"> PAGEREF _Toc90339163 \h </w:instrText>
      </w:r>
      <w:r>
        <w:fldChar w:fldCharType="separate"/>
      </w:r>
      <w:r>
        <w:t>46</w:t>
      </w:r>
      <w:r>
        <w:fldChar w:fldCharType="end"/>
      </w:r>
      <w:r>
        <w:fldChar w:fldCharType="end"/>
      </w:r>
    </w:p>
    <w:p>
      <w:pPr>
        <w:tabs>
          <w:tab w:val="right" w:leader="dot" w:pos="8296"/>
        </w:tabs>
        <w:ind w:left="960" w:hanging="480"/>
        <w:rPr>
          <w:rFonts w:hint="eastAsia" w:eastAsiaTheme="minorEastAsia"/>
          <w:sz w:val="21"/>
          <w:szCs w:val="22"/>
        </w:rPr>
        <w:sectPr>
          <w:pgSz w:w="11906" w:h="16838"/>
          <w:pgMar w:top="1440" w:right="1800" w:bottom="1440" w:left="1800" w:header="851" w:footer="992" w:gutter="0"/>
          <w:cols w:space="425" w:num="1"/>
          <w:docGrid w:type="lines" w:linePitch="312" w:charSpace="0"/>
        </w:sectPr>
      </w:pPr>
      <w:r>
        <w:fldChar w:fldCharType="begin"/>
      </w:r>
      <w:r>
        <w:instrText xml:space="preserve"> HYPERLINK \l "_Toc90339164" </w:instrText>
      </w:r>
      <w:r>
        <w:fldChar w:fldCharType="separate"/>
      </w:r>
      <w:r>
        <w:t>图表 20</w:t>
      </w:r>
      <w:r>
        <w:rPr>
          <w:rFonts w:ascii="宋体" w:hAnsi="宋体" w:cs="仿宋"/>
          <w:shd w:val="clear" w:color="auto" w:fill="FFFFFF"/>
        </w:rPr>
        <w:t>主要设计生产线布置</w:t>
      </w:r>
      <w:r>
        <w:tab/>
      </w:r>
      <w:r>
        <w:fldChar w:fldCharType="begin"/>
      </w:r>
      <w:r>
        <w:instrText xml:space="preserve"> PAGEREF _Toc90339164 \h </w:instrText>
      </w:r>
      <w:r>
        <w:fldChar w:fldCharType="separate"/>
      </w:r>
      <w:r>
        <w:t>68</w:t>
      </w:r>
      <w:r>
        <w:fldChar w:fldCharType="end"/>
      </w:r>
      <w:r>
        <w:fldChar w:fldCharType="end"/>
      </w:r>
      <w:r>
        <w:fldChar w:fldCharType="end"/>
      </w:r>
    </w:p>
    <w:p>
      <w:pPr>
        <w:pStyle w:val="2"/>
        <w:numPr>
          <w:ilvl w:val="0"/>
          <w:numId w:val="0"/>
        </w:numPr>
        <w:jc w:val="center"/>
      </w:pPr>
      <w:bookmarkStart w:id="5" w:name="_Toc90339018"/>
      <w:bookmarkStart w:id="6" w:name="_Toc6163"/>
      <w:r>
        <w:rPr>
          <w:rFonts w:hint="eastAsia"/>
        </w:rPr>
        <w:t>表索引</w:t>
      </w:r>
      <w:bookmarkEnd w:id="5"/>
      <w:r>
        <w:fldChar w:fldCharType="begin"/>
      </w:r>
      <w:r>
        <w:instrText xml:space="preserve"> </w:instrText>
      </w:r>
      <w:r>
        <w:rPr>
          <w:rFonts w:hint="eastAsia"/>
        </w:rPr>
        <w:instrText xml:space="preserve">TOC \h \z \c "表格"</w:instrText>
      </w:r>
      <w:r>
        <w:instrText xml:space="preserve"> </w:instrText>
      </w:r>
      <w:r>
        <w:fldChar w:fldCharType="separate"/>
      </w:r>
    </w:p>
    <w:p>
      <w:pPr>
        <w:tabs>
          <w:tab w:val="right" w:leader="dot" w:pos="8296"/>
        </w:tabs>
        <w:ind w:left="960" w:hanging="480"/>
        <w:rPr>
          <w:rFonts w:eastAsiaTheme="minorEastAsia"/>
          <w:sz w:val="21"/>
          <w:szCs w:val="22"/>
        </w:rPr>
      </w:pPr>
      <w:r>
        <w:fldChar w:fldCharType="begin"/>
      </w:r>
      <w:r>
        <w:instrText xml:space="preserve"> HYPERLINK \l "_Toc90339165" </w:instrText>
      </w:r>
      <w:r>
        <w:fldChar w:fldCharType="separate"/>
      </w:r>
      <w:r>
        <w:t xml:space="preserve">表格 </w:t>
      </w:r>
      <w:r>
        <w:rPr>
          <w:rFonts w:ascii="宋体" w:hAnsi="宋体"/>
        </w:rPr>
        <w:t>1</w:t>
      </w:r>
      <w:r>
        <w:rPr>
          <w:rFonts w:ascii="宋体" w:hAnsi="宋体" w:cs="仿宋"/>
        </w:rPr>
        <w:t>蚕桑养殖的现状</w:t>
      </w:r>
      <w:r>
        <w:tab/>
      </w:r>
      <w:r>
        <w:fldChar w:fldCharType="begin"/>
      </w:r>
      <w:r>
        <w:instrText xml:space="preserve"> PAGEREF _Toc90339165 \h </w:instrText>
      </w:r>
      <w:r>
        <w:fldChar w:fldCharType="separate"/>
      </w:r>
      <w:r>
        <w:t>14</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"_Toc90339166" </w:instrText>
      </w:r>
      <w:r>
        <w:fldChar w:fldCharType="separate"/>
      </w:r>
      <w:r>
        <w:rPr>
          <w:rFonts w:ascii="宋体" w:hAnsi="宋体"/>
        </w:rPr>
        <w:t>表格 2</w:t>
      </w:r>
      <w:r>
        <w:rPr>
          <w:rFonts w:ascii="宋体" w:hAnsi="宋体" w:cs="仿宋"/>
        </w:rPr>
        <w:t>传统蚕桑养殖与工厂蚕桑养殖的优劣分析</w:t>
      </w:r>
      <w:r>
        <w:tab/>
      </w:r>
      <w:r>
        <w:fldChar w:fldCharType="begin"/>
      </w:r>
      <w:r>
        <w:instrText xml:space="preserve"> PAGEREF _Toc90339166 \h </w:instrText>
      </w:r>
      <w:r>
        <w:fldChar w:fldCharType="separate"/>
      </w:r>
      <w:r>
        <w:t>18</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"_Toc90339167" </w:instrText>
      </w:r>
      <w:r>
        <w:fldChar w:fldCharType="separate"/>
      </w:r>
      <w:r>
        <w:t>表格 3</w:t>
      </w:r>
      <w:r>
        <w:rPr>
          <w:rFonts w:ascii="宋体" w:hAnsi="宋体"/>
        </w:rPr>
        <w:t>分工</w:t>
      </w:r>
      <w:r>
        <w:tab/>
      </w:r>
      <w:r>
        <w:fldChar w:fldCharType="begin"/>
      </w:r>
      <w:r>
        <w:instrText xml:space="preserve"> PAGEREF _Toc90339167 \h </w:instrText>
      </w:r>
      <w:r>
        <w:fldChar w:fldCharType="separate"/>
      </w:r>
      <w:r>
        <w:t>47</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"_Toc90339168" </w:instrText>
      </w:r>
      <w:r>
        <w:fldChar w:fldCharType="separate"/>
      </w:r>
      <w:r>
        <w:t>表格 4</w:t>
      </w:r>
      <w:r>
        <w:rPr>
          <w:rFonts w:ascii="宋体" w:hAnsi="宋体"/>
        </w:rPr>
        <w:t>公司主要职工介绍</w:t>
      </w:r>
      <w:r>
        <w:tab/>
      </w:r>
      <w:r>
        <w:fldChar w:fldCharType="begin"/>
      </w:r>
      <w:r>
        <w:instrText xml:space="preserve"> PAGEREF _Toc90339168 \h </w:instrText>
      </w:r>
      <w:r>
        <w:fldChar w:fldCharType="separate"/>
      </w:r>
      <w:r>
        <w:t>49</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"_Toc90339169" </w:instrText>
      </w:r>
      <w:r>
        <w:fldChar w:fldCharType="separate"/>
      </w:r>
      <w:r>
        <w:t>表格 5</w:t>
      </w:r>
      <w:r>
        <w:rPr>
          <w:rFonts w:ascii="宋体" w:hAnsi="宋体"/>
        </w:rPr>
        <w:t>服务</w:t>
      </w:r>
      <w:r>
        <w:tab/>
      </w:r>
      <w:r>
        <w:fldChar w:fldCharType="begin"/>
      </w:r>
      <w:r>
        <w:instrText xml:space="preserve"> PAGEREF _Toc90339169 \h </w:instrText>
      </w:r>
      <w:r>
        <w:fldChar w:fldCharType="separate"/>
      </w:r>
      <w:r>
        <w:t>53</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"_Toc90339170" </w:instrText>
      </w:r>
      <w:r>
        <w:fldChar w:fldCharType="separate"/>
      </w:r>
      <w:r>
        <w:rPr>
          <w:rFonts w:ascii="宋体" w:hAnsi="宋体"/>
        </w:rPr>
        <w:t>表格 6</w:t>
      </w:r>
      <w:r>
        <w:rPr>
          <w:rFonts w:ascii="宋体" w:hAnsi="宋体" w:cs="仿宋"/>
        </w:rPr>
        <w:t xml:space="preserve"> 前期融资方案</w:t>
      </w:r>
      <w:r>
        <w:tab/>
      </w:r>
      <w:r>
        <w:fldChar w:fldCharType="begin"/>
      </w:r>
      <w:r>
        <w:instrText xml:space="preserve"> PAGEREF _Toc90339170 \h </w:instrText>
      </w:r>
      <w:r>
        <w:fldChar w:fldCharType="separate"/>
      </w:r>
      <w:r>
        <w:t>56</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"_Toc90339171" </w:instrText>
      </w:r>
      <w:r>
        <w:fldChar w:fldCharType="separate"/>
      </w:r>
      <w:r>
        <w:rPr>
          <w:rFonts w:ascii="宋体" w:hAnsi="宋体"/>
        </w:rPr>
        <w:t>表格 7</w:t>
      </w:r>
      <w:r>
        <w:rPr>
          <w:rFonts w:ascii="宋体" w:hAnsi="宋体" w:cs="仿宋"/>
          <w:kern w:val="0"/>
          <w:lang w:bidi="ar"/>
        </w:rPr>
        <w:t>市场进入初期投资预测表</w:t>
      </w:r>
      <w:r>
        <w:tab/>
      </w:r>
      <w:r>
        <w:fldChar w:fldCharType="begin"/>
      </w:r>
      <w:r>
        <w:instrText xml:space="preserve"> PAGEREF _Toc90339171 \h </w:instrText>
      </w:r>
      <w:r>
        <w:fldChar w:fldCharType="separate"/>
      </w:r>
      <w:r>
        <w:t>59</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"_Toc90339172" </w:instrText>
      </w:r>
      <w:r>
        <w:fldChar w:fldCharType="separate"/>
      </w:r>
      <w:r>
        <w:rPr>
          <w:rFonts w:ascii="宋体" w:hAnsi="宋体"/>
        </w:rPr>
        <w:t>表格 8</w:t>
      </w:r>
      <w:r>
        <w:rPr>
          <w:rFonts w:ascii="宋体" w:hAnsi="宋体" w:cs="仿宋"/>
        </w:rPr>
        <w:t>未来五年支出情况预测</w:t>
      </w:r>
      <w:r>
        <w:tab/>
      </w:r>
      <w:r>
        <w:fldChar w:fldCharType="begin"/>
      </w:r>
      <w:r>
        <w:instrText xml:space="preserve"> PAGEREF _Toc90339172 \h </w:instrText>
      </w:r>
      <w:r>
        <w:fldChar w:fldCharType="separate"/>
      </w:r>
      <w:r>
        <w:t>60</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"_Toc90339173" </w:instrText>
      </w:r>
      <w:r>
        <w:fldChar w:fldCharType="separate"/>
      </w:r>
      <w:r>
        <w:rPr>
          <w:rFonts w:ascii="宋体" w:hAnsi="宋体"/>
        </w:rPr>
        <w:t>表格 9</w:t>
      </w:r>
      <w:r>
        <w:rPr>
          <w:rFonts w:ascii="宋体" w:hAnsi="宋体" w:cs="仿宋"/>
          <w:kern w:val="0"/>
          <w:lang w:bidi="ar"/>
        </w:rPr>
        <w:t>未来五年收入情况预测</w:t>
      </w:r>
      <w:r>
        <w:tab/>
      </w:r>
      <w:r>
        <w:fldChar w:fldCharType="begin"/>
      </w:r>
      <w:r>
        <w:instrText xml:space="preserve"> PAGEREF _Toc90339173 \h </w:instrText>
      </w:r>
      <w:r>
        <w:fldChar w:fldCharType="separate"/>
      </w:r>
      <w:r>
        <w:t>61</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"_Toc90339174" </w:instrText>
      </w:r>
      <w:r>
        <w:fldChar w:fldCharType="separate"/>
      </w:r>
      <w:r>
        <w:rPr>
          <w:rFonts w:ascii="宋体" w:hAnsi="宋体"/>
        </w:rPr>
        <w:t>表格 10</w:t>
      </w:r>
      <w:r>
        <w:rPr>
          <w:rFonts w:ascii="宋体" w:hAnsi="宋体" w:cs="仿宋"/>
          <w:kern w:val="0"/>
          <w:lang w:bidi="ar"/>
        </w:rPr>
        <w:t>利润表</w:t>
      </w:r>
      <w:r>
        <w:tab/>
      </w:r>
      <w:r>
        <w:fldChar w:fldCharType="begin"/>
      </w:r>
      <w:r>
        <w:instrText xml:space="preserve"> PAGEREF _Toc90339174 \h </w:instrText>
      </w:r>
      <w:r>
        <w:fldChar w:fldCharType="separate"/>
      </w:r>
      <w:r>
        <w:t>61</w:t>
      </w:r>
      <w:r>
        <w:fldChar w:fldCharType="end"/>
      </w:r>
      <w:r>
        <w:fldChar w:fldCharType="end"/>
      </w:r>
    </w:p>
    <w:p>
      <w:pPr>
        <w:tabs>
          <w:tab w:val="right" w:leader="dot" w:pos="8296"/>
        </w:tabs>
        <w:ind w:left="960" w:hanging="480"/>
        <w:rPr>
          <w:rFonts w:eastAsiaTheme="minorEastAsia"/>
          <w:sz w:val="21"/>
          <w:szCs w:val="22"/>
        </w:rPr>
      </w:pPr>
      <w:r>
        <w:fldChar w:fldCharType="begin"/>
      </w:r>
      <w:r>
        <w:instrText xml:space="preserve"> HYPERLINK \l "_Toc90339175" </w:instrText>
      </w:r>
      <w:r>
        <w:fldChar w:fldCharType="separate"/>
      </w:r>
      <w:r>
        <w:rPr>
          <w:rFonts w:ascii="宋体" w:hAnsi="宋体"/>
        </w:rPr>
        <w:t>表格 11</w:t>
      </w:r>
      <w:r>
        <w:rPr>
          <w:rFonts w:ascii="宋体" w:hAnsi="宋体" w:cs="仿宋"/>
          <w:kern w:val="0"/>
          <w:lang w:bidi="ar"/>
        </w:rPr>
        <w:t>资产负债表</w:t>
      </w:r>
      <w:r>
        <w:tab/>
      </w:r>
      <w:r>
        <w:fldChar w:fldCharType="begin"/>
      </w:r>
      <w:r>
        <w:instrText xml:space="preserve"> PAGEREF _Toc90339175 \h </w:instrText>
      </w:r>
      <w:r>
        <w:fldChar w:fldCharType="separate"/>
      </w:r>
      <w:r>
        <w:t>62</w:t>
      </w:r>
      <w:r>
        <w:fldChar w:fldCharType="end"/>
      </w:r>
      <w:r>
        <w:fldChar w:fldCharType="end"/>
      </w:r>
    </w:p>
    <w:p>
      <w:pPr>
        <w:tabs>
          <w:tab w:val="right" w:leader="dot" w:pos="8296"/>
        </w:tabs>
        <w:ind w:left="960" w:hanging="480"/>
        <w:rPr>
          <w:rFonts w:hint="eastAsia" w:eastAsiaTheme="minorEastAsia"/>
          <w:sz w:val="21"/>
          <w:szCs w:val="22"/>
        </w:rPr>
        <w:sectPr>
          <w:pgSz w:w="11906" w:h="16838"/>
          <w:pgMar w:top="1440" w:right="1800" w:bottom="1440" w:left="1800" w:header="851" w:footer="992" w:gutter="0"/>
          <w:cols w:space="425" w:num="1"/>
          <w:docGrid w:type="lines" w:linePitch="312" w:charSpace="0"/>
        </w:sectPr>
      </w:pPr>
      <w:r>
        <w:fldChar w:fldCharType="begin"/>
      </w:r>
      <w:r>
        <w:instrText xml:space="preserve"> HYPERLINK \l "_Toc90339176" </w:instrText>
      </w:r>
      <w:r>
        <w:fldChar w:fldCharType="separate"/>
      </w:r>
      <w:r>
        <w:rPr>
          <w:rFonts w:ascii="宋体" w:hAnsi="宋体"/>
        </w:rPr>
        <w:t>表格 12</w:t>
      </w:r>
      <w:r>
        <w:rPr>
          <w:rFonts w:ascii="宋体" w:hAnsi="宋体" w:cs="仿宋"/>
        </w:rPr>
        <w:t>财务比例分析表</w:t>
      </w:r>
      <w:r>
        <w:tab/>
      </w:r>
      <w:r>
        <w:fldChar w:fldCharType="begin"/>
      </w:r>
      <w:r>
        <w:instrText xml:space="preserve"> PAGEREF _Toc90339176 \h </w:instrText>
      </w:r>
      <w:r>
        <w:fldChar w:fldCharType="separate"/>
      </w:r>
      <w:r>
        <w:t>63</w:t>
      </w:r>
      <w:r>
        <w:fldChar w:fldCharType="end"/>
      </w:r>
      <w:r>
        <w:fldChar w:fldCharType="end"/>
      </w:r>
      <w:r>
        <w:fldChar w:fldCharType="end"/>
      </w:r>
    </w:p>
    <w:p>
      <w:pPr>
        <w:pStyle w:val="2"/>
        <w:rPr>
          <w:rFonts w:ascii="黑体" w:hAnsi="黑体" w:eastAsia="黑体"/>
          <w:sz w:val="32"/>
          <w:szCs w:val="32"/>
        </w:rPr>
      </w:pPr>
      <w:bookmarkStart w:id="7" w:name="_Toc90339019"/>
      <w:r>
        <w:rPr>
          <w:rFonts w:hint="eastAsia" w:ascii="黑体" w:hAnsi="黑体" w:eastAsia="黑体"/>
          <w:sz w:val="32"/>
          <w:szCs w:val="32"/>
        </w:rPr>
        <w:t>执行摘要</w:t>
      </w:r>
      <w:bookmarkEnd w:id="6"/>
      <w:bookmarkEnd w:id="7"/>
      <w:bookmarkStart w:id="8" w:name="OLE_LINK4"/>
    </w:p>
    <w:bookmarkEnd w:id="8"/>
    <w:p>
      <w:pPr>
        <w:pStyle w:val="3"/>
      </w:pPr>
      <w:bookmarkStart w:id="9" w:name="_Toc90339020"/>
      <w:bookmarkStart w:id="10" w:name="_Toc22669"/>
      <w:bookmarkStart w:id="11" w:name="_Toc16295"/>
      <w:bookmarkStart w:id="12" w:name="_Toc14035"/>
      <w:r>
        <w:rPr>
          <w:rFonts w:hint="eastAsia"/>
        </w:rPr>
        <w:t>项目简介</w:t>
      </w:r>
      <w:bookmarkEnd w:id="9"/>
      <w:bookmarkEnd w:id="10"/>
      <w:bookmarkEnd w:id="11"/>
      <w:bookmarkEnd w:id="12"/>
    </w:p>
    <w:p>
      <w:pPr>
        <w:pStyle w:val="37"/>
        <w:ind w:firstLine="560"/>
      </w:pPr>
      <w:r>
        <w:rPr>
          <w:rFonts w:hint="eastAsia"/>
        </w:rPr>
        <w:t>本产品主要应用于基层桑蚕养殖。一方面让农民不仅可以在家门口挣钱也可以低成本扩大生产规模进一步走向富裕；另一方面桑蚕养殖基地工厂内也能进行生产模式更新，在降低生产成本的同时提高产品质量。</w:t>
      </w:r>
    </w:p>
    <w:p>
      <w:pPr>
        <w:pStyle w:val="3"/>
      </w:pPr>
      <w:bookmarkStart w:id="13" w:name="_Toc397"/>
      <w:bookmarkStart w:id="14" w:name="_Toc7350"/>
      <w:bookmarkStart w:id="15" w:name="_Toc90339021"/>
      <w:bookmarkStart w:id="16" w:name="_Toc9040"/>
      <w:bookmarkStart w:id="17" w:name="_Toc26548"/>
      <w:r>
        <w:rPr>
          <w:rFonts w:hint="eastAsia"/>
        </w:rPr>
        <w:t>技术简介</w:t>
      </w:r>
      <w:bookmarkEnd w:id="13"/>
      <w:bookmarkEnd w:id="14"/>
      <w:bookmarkEnd w:id="15"/>
      <w:bookmarkEnd w:id="16"/>
    </w:p>
    <w:p>
      <w:pPr>
        <w:pStyle w:val="37"/>
        <w:ind w:firstLine="560"/>
      </w:pPr>
      <w:r>
        <w:rPr>
          <w:rFonts w:hint="eastAsia"/>
        </w:rPr>
        <w:t>本产品利用深度学习和云计算技术，通过在本地部署在jeston nano上的神经网络将用户端搜集的数据处理实时转化成蚕的状态参数和环境参数并上传到云平台储存和分析，同时与专家数据库联动，通过WeChat小程序为个体养殖户提供便捷的养殖监控和专家建议，而不需要安装其他第三方软件，减少用户的学习成本，满足农村地区人员技术水平不高的要求。</w:t>
      </w:r>
    </w:p>
    <w:p>
      <w:pPr>
        <w:pStyle w:val="4"/>
      </w:pPr>
      <w:bookmarkStart w:id="18" w:name="_Toc30580"/>
      <w:bookmarkStart w:id="19" w:name="_Toc12132"/>
      <w:bookmarkStart w:id="20" w:name="_Toc90339022"/>
      <w:bookmarkStart w:id="21" w:name="_Toc483"/>
      <w:r>
        <w:rPr>
          <w:rFonts w:hint="eastAsia"/>
        </w:rPr>
        <w:t>硬件实现</w:t>
      </w:r>
      <w:bookmarkEnd w:id="18"/>
      <w:bookmarkEnd w:id="19"/>
      <w:bookmarkEnd w:id="20"/>
      <w:bookmarkEnd w:id="21"/>
    </w:p>
    <w:p>
      <w:pPr>
        <w:pStyle w:val="37"/>
        <w:rPr>
          <w:rFonts w:hint="eastAsia" w:ascii="仿宋" w:hAnsi="仿宋" w:eastAsia="仿宋" w:cs="仿宋"/>
          <w:sz w:val="28"/>
          <w:szCs w:val="28"/>
        </w:rPr>
      </w:pPr>
      <w:r>
        <w:rPr>
          <w:rFonts w:hint="eastAsia" w:ascii="仿宋" w:hAnsi="仿宋" w:eastAsia="仿宋" w:cs="仿宋"/>
          <w:sz w:val="28"/>
          <w:szCs w:val="28"/>
        </w:rPr>
        <w:t>本产品使用的嵌入式设备为jetson nano 4 GB显存。其每个系统都是一个完备的模块化系统 (SOM)，具备 CPU、GPU、PMIC、DRAM 和闪存，而NVIDIA</w:t>
      </w:r>
      <w:r>
        <w:rPr>
          <w:rFonts w:hint="eastAsia" w:ascii="仿宋" w:hAnsi="仿宋" w:eastAsia="仿宋" w:cs="仿宋"/>
          <w:sz w:val="28"/>
          <w:szCs w:val="28"/>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8"/>
                    <a:stretch>
                      <a:fillRect/>
                    </a:stretch>
                  </pic:blipFill>
                  <pic:spPr>
                    <a:xfrm>
                      <a:off x="0" y="0"/>
                      <a:ext cx="219075" cy="219075"/>
                    </a:xfrm>
                    <a:prstGeom prst="rect">
                      <a:avLst/>
                    </a:prstGeom>
                    <a:noFill/>
                    <a:ln w="9525">
                      <a:noFill/>
                    </a:ln>
                  </pic:spPr>
                </pic:pic>
              </a:graphicData>
            </a:graphic>
          </wp:inline>
        </w:drawing>
      </w:r>
      <w:r>
        <w:rPr>
          <w:rFonts w:hint="eastAsia" w:ascii="仿宋" w:hAnsi="仿宋" w:eastAsia="仿宋" w:cs="仿宋"/>
          <w:sz w:val="28"/>
          <w:szCs w:val="28"/>
        </w:rPr>
        <w:t> Jetson</w:t>
      </w:r>
      <w:r>
        <w:rPr>
          <w:rFonts w:hint="eastAsia" w:ascii="仿宋" w:hAnsi="仿宋" w:eastAsia="仿宋" w:cs="仿宋"/>
          <w:sz w:val="28"/>
          <w:szCs w:val="28"/>
        </w:rPr>
        <w:drawing>
          <wp:inline distT="0" distB="0" distL="114300" distR="114300">
            <wp:extent cx="219075" cy="219075"/>
            <wp:effectExtent l="0" t="0" r="9525" b="0"/>
            <wp:docPr id="3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7"/>
                    <pic:cNvPicPr>
                      <a:picLocks noChangeAspect="1"/>
                    </pic:cNvPicPr>
                  </pic:nvPicPr>
                  <pic:blipFill>
                    <a:blip r:embed="rId9"/>
                    <a:stretch>
                      <a:fillRect/>
                    </a:stretch>
                  </pic:blipFill>
                  <pic:spPr>
                    <a:xfrm>
                      <a:off x="0" y="0"/>
                      <a:ext cx="219075" cy="219075"/>
                    </a:xfrm>
                    <a:prstGeom prst="rect">
                      <a:avLst/>
                    </a:prstGeom>
                    <a:noFill/>
                    <a:ln w="9525">
                      <a:noFill/>
                    </a:ln>
                  </pic:spPr>
                </pic:pic>
              </a:graphicData>
            </a:graphic>
          </wp:inline>
        </w:drawing>
      </w:r>
      <w:r>
        <w:rPr>
          <w:rFonts w:hint="eastAsia" w:ascii="仿宋" w:hAnsi="仿宋" w:eastAsia="仿宋" w:cs="仿宋"/>
          <w:sz w:val="28"/>
          <w:szCs w:val="28"/>
        </w:rPr>
        <w:t> 系统所提供的算法支持可大幅度提高我们网络的运行速度，视频流检测帧率以及机器的能效比。因为Jetson具备的可扩展性使得我们在该机器上直接配置多种外设例如温度检测器成为可能。</w:t>
      </w:r>
    </w:p>
    <w:p>
      <w:pPr>
        <w:pStyle w:val="37"/>
        <w:ind w:firstLine="560"/>
        <w:rPr>
          <w:rFonts w:hint="eastAsia"/>
        </w:rPr>
      </w:pPr>
    </w:p>
    <w:p>
      <w:pPr>
        <w:widowControl/>
        <w:ind w:firstLine="480" w:firstLineChars="200"/>
        <w:jc w:val="center"/>
        <w:textAlignment w:val="baseline"/>
      </w:pPr>
      <w:r>
        <w:drawing>
          <wp:inline distT="0" distB="0" distL="114300" distR="114300">
            <wp:extent cx="2510155" cy="1876425"/>
            <wp:effectExtent l="0" t="0" r="444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2510155" cy="1876425"/>
                    </a:xfrm>
                    <a:prstGeom prst="rect">
                      <a:avLst/>
                    </a:prstGeom>
                    <a:noFill/>
                    <a:ln>
                      <a:noFill/>
                    </a:ln>
                  </pic:spPr>
                </pic:pic>
              </a:graphicData>
            </a:graphic>
          </wp:inline>
        </w:drawing>
      </w:r>
    </w:p>
    <w:p>
      <w:pPr>
        <w:jc w:val="center"/>
        <w:rPr>
          <w:rFonts w:ascii="宋体" w:hAnsi="宋体" w:cs="宋体"/>
          <w:color w:val="000000"/>
          <w:kern w:val="0"/>
          <w:sz w:val="21"/>
          <w:szCs w:val="21"/>
          <w:lang w:bidi="ar"/>
        </w:rPr>
      </w:pPr>
      <w:bookmarkStart w:id="22" w:name="_Toc90339145"/>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w:t>
      </w:r>
      <w:r>
        <w:fldChar w:fldCharType="end"/>
      </w:r>
      <w:r>
        <w:rPr>
          <w:rFonts w:hint="eastAsia" w:ascii="宋体" w:hAnsi="宋体" w:cs="宋体"/>
          <w:color w:val="000000"/>
          <w:kern w:val="0"/>
          <w:sz w:val="21"/>
          <w:szCs w:val="21"/>
          <w:lang w:bidi="ar"/>
        </w:rPr>
        <w:t>硬件图片</w:t>
      </w:r>
      <w:bookmarkEnd w:id="22"/>
    </w:p>
    <w:p>
      <w:pPr>
        <w:rPr>
          <w:rFonts w:hint="eastAsia"/>
          <w:lang w:bidi="ar"/>
        </w:rPr>
      </w:pPr>
    </w:p>
    <w:p>
      <w:pPr>
        <w:pStyle w:val="4"/>
      </w:pPr>
      <w:bookmarkStart w:id="23" w:name="_Toc27623"/>
      <w:bookmarkStart w:id="24" w:name="_Toc29311"/>
      <w:bookmarkStart w:id="25" w:name="_Toc2132"/>
      <w:bookmarkStart w:id="26" w:name="_Toc90339023"/>
      <w:r>
        <w:rPr>
          <w:rFonts w:hint="eastAsia"/>
        </w:rPr>
        <w:t>软件实现</w:t>
      </w:r>
      <w:bookmarkEnd w:id="23"/>
      <w:bookmarkEnd w:id="24"/>
      <w:bookmarkEnd w:id="25"/>
      <w:bookmarkEnd w:id="26"/>
    </w:p>
    <w:bookmarkEnd w:id="17"/>
    <w:p>
      <w:pPr>
        <w:pStyle w:val="37"/>
        <w:ind w:left="0" w:leftChars="0" w:firstLine="420" w:firstLineChars="0"/>
        <w:rPr>
          <w:rFonts w:hint="eastAsia" w:ascii="仿宋" w:hAnsi="仿宋" w:eastAsia="仿宋" w:cs="仿宋"/>
          <w:sz w:val="28"/>
          <w:szCs w:val="28"/>
        </w:rPr>
      </w:pPr>
      <w:r>
        <w:rPr>
          <w:rFonts w:hint="eastAsia" w:ascii="仿宋" w:hAnsi="仿宋" w:eastAsia="仿宋" w:cs="仿宋"/>
          <w:sz w:val="28"/>
          <w:szCs w:val="28"/>
        </w:rPr>
        <w:t>我们使用微信小程序作为用户的操作软件，主要考虑到微信的普及和微信小程序对农民来说无需安装其他第三方软件又容易上手。微信小程序作为蚕农的操作终端，主要包含了桑蚕生长监测，蚕室环境监测于分析，专家知识库。简洁易懂的界面，流畅的运行速度、友好的交互页面，保证了蚕农使用的舒适性。</w:t>
      </w:r>
    </w:p>
    <w:p>
      <w:pPr>
        <w:pStyle w:val="37"/>
        <w:ind w:left="0" w:leftChars="0" w:firstLine="420" w:firstLineChars="0"/>
        <w:rPr>
          <w:rFonts w:hint="eastAsia" w:ascii="仿宋" w:hAnsi="仿宋" w:eastAsia="仿宋" w:cs="仿宋"/>
          <w:sz w:val="28"/>
          <w:szCs w:val="28"/>
        </w:rPr>
      </w:pPr>
    </w:p>
    <w:p>
      <w:pPr>
        <w:pStyle w:val="37"/>
        <w:ind w:left="0" w:leftChars="0" w:firstLine="0" w:firstLineChars="0"/>
        <w:rPr>
          <w:rFonts w:hint="eastAsia" w:ascii="黑体" w:hAnsi="黑体" w:eastAsia="黑体" w:cs="黑体"/>
          <w:b/>
          <w:bCs w:val="0"/>
          <w:sz w:val="28"/>
          <w:szCs w:val="28"/>
        </w:rPr>
      </w:pPr>
      <w:r>
        <w:rPr>
          <w:rFonts w:hint="eastAsia" w:ascii="黑体" w:hAnsi="黑体" w:eastAsia="黑体" w:cs="黑体"/>
          <w:b/>
          <w:bCs w:val="0"/>
          <w:sz w:val="28"/>
          <w:szCs w:val="28"/>
          <w:lang w:val="en-US" w:eastAsia="zh-CN"/>
        </w:rPr>
        <w:t>1.2.3</w:t>
      </w:r>
      <w:r>
        <w:rPr>
          <w:rFonts w:hint="eastAsia" w:ascii="黑体" w:hAnsi="黑体" w:eastAsia="黑体" w:cs="黑体"/>
          <w:b/>
          <w:bCs w:val="0"/>
          <w:sz w:val="28"/>
          <w:szCs w:val="28"/>
        </w:rPr>
        <w:t>算法简介</w:t>
      </w:r>
    </w:p>
    <w:p>
      <w:pPr>
        <w:pStyle w:val="37"/>
        <w:ind w:left="0" w:leftChars="0" w:firstLine="0" w:firstLineChars="0"/>
        <w:rPr>
          <w:rFonts w:hint="eastAsia" w:ascii="黑体" w:hAnsi="黑体" w:eastAsia="黑体" w:cs="黑体"/>
          <w:b/>
          <w:bCs w:val="0"/>
          <w:sz w:val="28"/>
          <w:szCs w:val="28"/>
        </w:rPr>
      </w:pPr>
    </w:p>
    <w:p>
      <w:pPr>
        <w:pStyle w:val="37"/>
        <w:ind w:left="0" w:leftChars="0" w:firstLine="420" w:firstLineChars="0"/>
        <w:rPr>
          <w:rFonts w:hint="eastAsia" w:ascii="仿宋" w:hAnsi="仿宋" w:eastAsia="仿宋" w:cs="仿宋"/>
          <w:sz w:val="28"/>
          <w:szCs w:val="28"/>
        </w:rPr>
      </w:pPr>
      <w:r>
        <w:rPr>
          <w:rFonts w:hint="eastAsia" w:ascii="仿宋" w:hAnsi="仿宋" w:eastAsia="仿宋" w:cs="仿宋"/>
          <w:sz w:val="28"/>
          <w:szCs w:val="28"/>
        </w:rPr>
        <w:t>本产品使用计算机视觉中的目标检测算法YOLO，作为运行速度快、准确率较高的原始基础网络，其在检测蚕等小目标时仍会出现漏检测，错检测等问题，于是我们针对性地依据蚕的特点，蚕室环境的特点等对网络进行全面的改动和优化使之到达较好的效果。</w:t>
      </w:r>
    </w:p>
    <w:p>
      <w:pPr>
        <w:pStyle w:val="3"/>
      </w:pPr>
      <w:bookmarkStart w:id="27" w:name="_Toc21640"/>
      <w:bookmarkStart w:id="28" w:name="_Toc11985"/>
      <w:bookmarkStart w:id="29" w:name="_Toc90339024"/>
      <w:bookmarkStart w:id="30" w:name="_Toc7370"/>
      <w:r>
        <w:rPr>
          <w:rFonts w:hint="eastAsia"/>
        </w:rPr>
        <w:t>盈利模式</w:t>
      </w:r>
      <w:bookmarkEnd w:id="27"/>
      <w:bookmarkEnd w:id="28"/>
      <w:bookmarkEnd w:id="29"/>
      <w:bookmarkEnd w:id="30"/>
    </w:p>
    <w:p>
      <w:pPr>
        <w:pStyle w:val="37"/>
        <w:ind w:firstLine="560"/>
      </w:pPr>
      <w:r>
        <w:rPr>
          <w:rFonts w:hint="eastAsia"/>
        </w:rPr>
        <w:t>公司的主要支出用于产品外包生产、产品研发优化、产品宣传推广以及公司正常日常运营的开销。</w:t>
      </w:r>
    </w:p>
    <w:p>
      <w:pPr>
        <w:pStyle w:val="37"/>
        <w:ind w:firstLine="560"/>
      </w:pPr>
      <w:r>
        <w:rPr>
          <w:rFonts w:hint="eastAsia"/>
        </w:rPr>
        <w:t>低端产品主要针对于蚕养殖个体户，主要用于帮助蚕养殖个体户降低养殖精力成本，一定程度上扩大养殖规模。其采用对口直销+合作商代销的模式，借助与各个桑蚕养殖基地以及蚕产业特色村达成合作，快速增加产品在目标受众中的知名度与用户好感度。</w:t>
      </w:r>
    </w:p>
    <w:p>
      <w:pPr>
        <w:pStyle w:val="37"/>
        <w:ind w:firstLine="560"/>
      </w:pPr>
      <w:r>
        <w:rPr>
          <w:rFonts w:hint="eastAsia"/>
        </w:rPr>
        <w:t>高端产品的受众更针对于具有一定蚕养殖规模的企业，高端线产品具有一系列的蚕养殖智能化系统，产品配套服务更加全面、系统。由于其拥有较高的产品利润，与此同时对于产品的功能、质量与服务水准同样有着较高的要求，所以对于高端生产线的建立主要集中于公司发展成熟期阶段并于公司发展后期逐步进行生产线的优化与完善。在保证生产厂家与经销商利润的前提下与生产厂家达成良好合作关系。</w:t>
      </w:r>
    </w:p>
    <w:p>
      <w:pPr>
        <w:pStyle w:val="37"/>
        <w:ind w:firstLine="560"/>
      </w:pPr>
      <w:r>
        <w:rPr>
          <w:rFonts w:hint="eastAsia"/>
        </w:rPr>
        <w:t>在生产成本方面，我们选取“MTO+部分外包”的生产模式，将生产工厂选址于需求受众就近范围内，实现就近供应，大大降低了产品的物流交通成本。并且由于公司采取外包形式进行产品生产，所以不需要购买生产设备，极大程度上的降低了沉没成本的投资。</w:t>
      </w:r>
    </w:p>
    <w:p>
      <w:pPr>
        <w:pStyle w:val="37"/>
        <w:ind w:firstLine="560"/>
        <w:rPr>
          <w:rFonts w:hint="eastAsia"/>
        </w:rPr>
      </w:pPr>
    </w:p>
    <w:p>
      <w:pPr>
        <w:ind w:firstLine="420"/>
        <w:jc w:val="center"/>
        <w:rPr>
          <w:rFonts w:ascii="仿宋" w:hAnsi="仿宋" w:eastAsia="仿宋" w:cs="仿宋"/>
        </w:rPr>
      </w:pPr>
      <w:r>
        <w:rPr>
          <w:rFonts w:hint="eastAsia" w:ascii="仿宋" w:hAnsi="仿宋" w:eastAsia="仿宋" w:cs="仿宋"/>
        </w:rPr>
        <w:drawing>
          <wp:inline distT="0" distB="0" distL="114300" distR="114300">
            <wp:extent cx="2750820" cy="2839085"/>
            <wp:effectExtent l="0" t="0" r="7620"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2750820" cy="2839085"/>
                    </a:xfrm>
                    <a:prstGeom prst="rect">
                      <a:avLst/>
                    </a:prstGeom>
                    <a:noFill/>
                    <a:ln>
                      <a:noFill/>
                    </a:ln>
                  </pic:spPr>
                </pic:pic>
              </a:graphicData>
            </a:graphic>
          </wp:inline>
        </w:drawing>
      </w:r>
    </w:p>
    <w:p>
      <w:pPr>
        <w:jc w:val="center"/>
        <w:rPr>
          <w:rFonts w:ascii="宋体" w:hAnsi="宋体" w:cs="仿宋"/>
          <w:color w:val="000000" w:themeColor="text1"/>
          <w:sz w:val="21"/>
          <w:szCs w:val="21"/>
          <w14:textFill>
            <w14:solidFill>
              <w14:schemeClr w14:val="tx1"/>
            </w14:solidFill>
          </w14:textFill>
        </w:rPr>
      </w:pPr>
      <w:bookmarkStart w:id="31" w:name="_Toc90339146"/>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rPr>
          <w:rFonts w:hint="eastAsia" w:ascii="宋体" w:hAnsi="宋体" w:cs="仿宋"/>
          <w:color w:val="000000" w:themeColor="text1"/>
          <w:sz w:val="21"/>
          <w:szCs w:val="21"/>
          <w14:textFill>
            <w14:solidFill>
              <w14:schemeClr w14:val="tx1"/>
            </w14:solidFill>
          </w14:textFill>
        </w:rPr>
        <w:t>费用支出示意图</w:t>
      </w:r>
      <w:bookmarkEnd w:id="31"/>
    </w:p>
    <w:p>
      <w:pPr>
        <w:rPr>
          <w:rFonts w:hint="eastAsia"/>
        </w:rPr>
      </w:pPr>
    </w:p>
    <w:p>
      <w:pPr>
        <w:pStyle w:val="37"/>
        <w:ind w:firstLine="560"/>
      </w:pPr>
      <w:r>
        <w:rPr>
          <w:rFonts w:hint="eastAsia"/>
        </w:rPr>
        <w:t>公司的主要收入来源于产品的销售所得、产品售后系列服务收费和产品衍生项目收入所得等。本公司掌握产品核心技术，以智能化系统化养殖系统的实用性以及售前售后的配套服务作为本公司的主要亮点，结合当下国家政策下本产品所依托的蚕养殖行业的兴起铸就了本公司产品的独特优势。我们将在公司创业发展初期为所合作的合作社体验用户提供免费的产品升级优化服务，在产品的实践应用中逐步提升产品的实用性，以产品质量换取品牌口碑，以产品通用性来扩大其知名度。</w:t>
      </w:r>
    </w:p>
    <w:p>
      <w:pPr>
        <w:pStyle w:val="37"/>
        <w:ind w:firstLine="560"/>
        <w:rPr>
          <w:rFonts w:hint="eastAsia"/>
        </w:rPr>
      </w:pPr>
    </w:p>
    <w:p>
      <w:pPr>
        <w:ind w:firstLine="420"/>
        <w:jc w:val="center"/>
        <w:rPr>
          <w:rFonts w:ascii="仿宋" w:hAnsi="仿宋" w:eastAsia="仿宋" w:cs="仿宋"/>
        </w:rPr>
      </w:pPr>
      <w:r>
        <w:rPr>
          <w:rFonts w:hint="eastAsia" w:ascii="仿宋" w:hAnsi="仿宋" w:eastAsia="仿宋" w:cs="仿宋"/>
        </w:rPr>
        <w:drawing>
          <wp:inline distT="0" distB="0" distL="114300" distR="114300">
            <wp:extent cx="2592705" cy="2597150"/>
            <wp:effectExtent l="0" t="0" r="13335"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2592705" cy="2597150"/>
                    </a:xfrm>
                    <a:prstGeom prst="rect">
                      <a:avLst/>
                    </a:prstGeom>
                    <a:noFill/>
                    <a:ln>
                      <a:noFill/>
                    </a:ln>
                  </pic:spPr>
                </pic:pic>
              </a:graphicData>
            </a:graphic>
          </wp:inline>
        </w:drawing>
      </w:r>
    </w:p>
    <w:p>
      <w:pPr>
        <w:jc w:val="center"/>
        <w:rPr>
          <w:rFonts w:ascii="仿宋" w:hAnsi="仿宋" w:eastAsia="仿宋" w:cs="仿宋"/>
          <w:color w:val="000000" w:themeColor="text1"/>
          <w14:textFill>
            <w14:solidFill>
              <w14:schemeClr w14:val="tx1"/>
            </w14:solidFill>
          </w14:textFill>
        </w:rPr>
        <w:sectPr>
          <w:pgSz w:w="11906" w:h="16838"/>
          <w:pgMar w:top="1440" w:right="1800" w:bottom="1440" w:left="1800" w:header="851" w:footer="992" w:gutter="0"/>
          <w:cols w:space="425" w:num="1"/>
          <w:docGrid w:type="lines" w:linePitch="312" w:charSpace="0"/>
        </w:sectPr>
      </w:pPr>
      <w:bookmarkStart w:id="32" w:name="_Toc90339147"/>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3</w:t>
      </w:r>
      <w:r>
        <w:fldChar w:fldCharType="end"/>
      </w:r>
      <w:r>
        <w:rPr>
          <w:rFonts w:hint="eastAsia" w:ascii="宋体" w:hAnsi="宋体" w:cs="仿宋"/>
          <w:color w:val="000000" w:themeColor="text1"/>
          <w:sz w:val="21"/>
          <w:szCs w:val="21"/>
          <w14:textFill>
            <w14:solidFill>
              <w14:schemeClr w14:val="tx1"/>
            </w14:solidFill>
          </w14:textFill>
        </w:rPr>
        <w:t>产品收入示意图</w:t>
      </w:r>
      <w:bookmarkEnd w:id="32"/>
    </w:p>
    <w:p>
      <w:pPr>
        <w:pStyle w:val="2"/>
        <w:rPr>
          <w:rFonts w:ascii="黑体" w:hAnsi="黑体" w:eastAsia="黑体"/>
          <w:sz w:val="32"/>
          <w:szCs w:val="32"/>
        </w:rPr>
      </w:pPr>
      <w:bookmarkStart w:id="33" w:name="_Toc90339025"/>
      <w:bookmarkStart w:id="34" w:name="_Toc3346"/>
      <w:bookmarkStart w:id="35" w:name="_Toc27815"/>
      <w:bookmarkStart w:id="36" w:name="_Toc22495"/>
      <w:bookmarkStart w:id="37" w:name="_Toc30351"/>
      <w:bookmarkStart w:id="38" w:name="_Toc29345"/>
      <w:r>
        <w:rPr>
          <w:rFonts w:hint="eastAsia" w:ascii="黑体" w:hAnsi="黑体" w:eastAsia="黑体"/>
          <w:sz w:val="32"/>
          <w:szCs w:val="32"/>
        </w:rPr>
        <w:t>产品背景</w:t>
      </w:r>
      <w:bookmarkEnd w:id="33"/>
      <w:bookmarkEnd w:id="34"/>
      <w:bookmarkEnd w:id="35"/>
      <w:bookmarkEnd w:id="36"/>
      <w:bookmarkEnd w:id="37"/>
      <w:bookmarkEnd w:id="38"/>
    </w:p>
    <w:p>
      <w:pPr>
        <w:pStyle w:val="3"/>
      </w:pPr>
      <w:bookmarkStart w:id="39" w:name="_Toc17174"/>
      <w:bookmarkStart w:id="40" w:name="_Toc25966"/>
      <w:bookmarkStart w:id="41" w:name="_Toc90339026"/>
      <w:bookmarkStart w:id="42" w:name="_Toc7806"/>
      <w:bookmarkStart w:id="43" w:name="_Toc19967"/>
      <w:r>
        <w:rPr>
          <w:rFonts w:hint="eastAsia"/>
        </w:rPr>
        <w:t>2.1市场背景</w:t>
      </w:r>
      <w:bookmarkEnd w:id="39"/>
      <w:bookmarkEnd w:id="40"/>
      <w:bookmarkEnd w:id="41"/>
      <w:bookmarkEnd w:id="42"/>
      <w:bookmarkEnd w:id="43"/>
    </w:p>
    <w:p>
      <w:pPr>
        <w:pStyle w:val="4"/>
      </w:pPr>
      <w:bookmarkStart w:id="44" w:name="_Toc2409"/>
      <w:bookmarkStart w:id="45" w:name="_Toc90339027"/>
      <w:bookmarkStart w:id="46" w:name="_Toc2592"/>
      <w:bookmarkStart w:id="47" w:name="_Toc25832"/>
      <w:bookmarkStart w:id="48" w:name="_Toc21863"/>
      <w:r>
        <w:rPr>
          <w:rFonts w:hint="eastAsia"/>
        </w:rPr>
        <w:t>历史背景</w:t>
      </w:r>
      <w:bookmarkEnd w:id="44"/>
      <w:bookmarkEnd w:id="45"/>
      <w:bookmarkEnd w:id="46"/>
      <w:bookmarkEnd w:id="47"/>
      <w:bookmarkEnd w:id="48"/>
    </w:p>
    <w:p>
      <w:pPr>
        <w:pStyle w:val="37"/>
        <w:ind w:firstLine="560"/>
        <w:rPr>
          <w:rFonts w:hint="eastAsia"/>
        </w:rPr>
      </w:pPr>
      <w:r>
        <w:rPr>
          <w:rFonts w:hint="eastAsia"/>
        </w:rPr>
        <w:t>我国蚕桑产业历史悠久，养蚕织绸纯手工工艺源远流长，是非常重要的艺术表现形式。作为世界上最早栽桑、养蚕、缫丝、织绸的国家，中国的丝绸文明为人类文明作出了杰出贡献。蚕农对蚕宝宝的培育养护更是不敢有丝毫怠慢，从选种、育种到蚕蚁出，再经历头眠、二眠、三眠和大眠四次蚕眠，渐至蚕吐丝结茧，完成一个周期约需一个月左右。《蚕桑萃编》中详述了不同水质对缫茧的影响与处理方法：“缫茧，以清水为主。泉源清者最上，河流清者次之，井水清者亦可;如山涧中水，须择溪中极清者，或流自石罅间;如江边水黄，宜早数日储旧缸内澄清，若先未储存，临时缺用，成都有沙缸滤水之法……水不清，丝即不亮。”</w:t>
      </w:r>
    </w:p>
    <w:p>
      <w:pPr>
        <w:pStyle w:val="4"/>
      </w:pPr>
      <w:bookmarkStart w:id="49" w:name="_Toc22837"/>
      <w:bookmarkStart w:id="50" w:name="_Toc90339028"/>
      <w:r>
        <w:rPr>
          <w:rFonts w:hint="eastAsia"/>
        </w:rPr>
        <w:t>现状分析</w:t>
      </w:r>
      <w:bookmarkEnd w:id="49"/>
      <w:bookmarkEnd w:id="50"/>
    </w:p>
    <w:p>
      <w:pPr>
        <w:pStyle w:val="37"/>
        <w:ind w:firstLine="560"/>
      </w:pPr>
      <w:r>
        <w:rPr>
          <w:rFonts w:hint="eastAsia"/>
        </w:rPr>
        <w:t>蚕桑作为主要的汉文化，表现了我国东亚农耕文明时期的农业技术成熟度，蕴含着中国古代人们的智慧。但是，任何一种产业的发展都需要与时代进步相契合，才能发挥其具有的价值。现阶段，蚕桑行业的发展因受到诸多因素影响，在经济全球化发展的背景下，蚕桑行业发展面临的巨大挑战，发展形势不容乐观。</w:t>
      </w:r>
    </w:p>
    <w:p>
      <w:pPr>
        <w:pStyle w:val="37"/>
        <w:ind w:firstLine="560"/>
      </w:pPr>
      <w:r>
        <w:rPr>
          <w:rFonts w:hint="eastAsia"/>
        </w:rPr>
        <w:t xml:space="preserve">在蚕桑养殖过程中，由于未制定详细的方案，造成资金投入过高，同时又缺乏较完善的预算方案，造成资金浪费现象发生。另外，桑农在养殖前为做好调查，投入资金后，又难以回本。 </w:t>
      </w:r>
    </w:p>
    <w:p>
      <w:pPr>
        <w:pStyle w:val="37"/>
        <w:ind w:firstLine="560"/>
      </w:pPr>
      <w:r>
        <w:rPr>
          <w:rFonts w:hint="eastAsia"/>
        </w:rPr>
        <w:t>桑农仍采用落后的养殖技术，没有引进先进的科学设备，无法做到科学养殖，难以提高蚕丝质量。</w:t>
      </w:r>
    </w:p>
    <w:p>
      <w:pPr>
        <w:pStyle w:val="37"/>
        <w:ind w:firstLine="560"/>
      </w:pPr>
      <w:r>
        <w:rPr>
          <w:rFonts w:hint="eastAsia"/>
        </w:rPr>
        <w:t>桑户在养殖过程中，没有树立消毒的重要性，依照传统的养殖技术，未实行科学的、全面的消毒措施，导致蚕死、蚕病的现象发生，经济损失巨大。</w:t>
      </w:r>
    </w:p>
    <w:p>
      <w:pPr>
        <w:pStyle w:val="37"/>
        <w:ind w:firstLine="560"/>
      </w:pPr>
      <w:r>
        <w:rPr>
          <w:rFonts w:hint="eastAsia"/>
        </w:rPr>
        <w:t>而近几年来，农村青壮年外出务工经商使得劳动力紧张，人工的减少导致病虫害问题加剧，传统养殖无法阻止其他同类竞争动物的繁殖，易挤占桑蚕生长空间。再加上工业用地增加及农村老龄化问题的影响，蚕业生产面临着严峻的考验，劳动力紧张使的桑园面积逐年递减，桑园面积的减少又直接影响丝绸行业的发展。</w:t>
      </w:r>
    </w:p>
    <w:p>
      <w:pPr>
        <w:pStyle w:val="37"/>
        <w:ind w:firstLine="560"/>
        <w:rPr>
          <w:rFonts w:hint="eastAsia"/>
        </w:rPr>
      </w:pPr>
    </w:p>
    <w:p>
      <w:pPr>
        <w:jc w:val="center"/>
        <w:rPr>
          <w:rFonts w:hint="eastAsia" w:ascii="宋体" w:hAnsi="宋体" w:cs="仿宋"/>
          <w:color w:val="000000"/>
          <w:sz w:val="21"/>
          <w:szCs w:val="21"/>
        </w:rPr>
      </w:pPr>
      <w:bookmarkStart w:id="51" w:name="_Toc90339165"/>
      <w:r>
        <w:rPr>
          <w:rFonts w:hint="eastAsia"/>
        </w:rPr>
        <w:t xml:space="preserve">表格 </w:t>
      </w:r>
      <w:r>
        <w:rPr>
          <w:rFonts w:ascii="宋体" w:hAnsi="宋体"/>
          <w:sz w:val="21"/>
          <w:szCs w:val="21"/>
        </w:rPr>
        <w:fldChar w:fldCharType="begin"/>
      </w:r>
      <w:r>
        <w:rPr>
          <w:rFonts w:ascii="宋体" w:hAnsi="宋体"/>
          <w:sz w:val="21"/>
          <w:szCs w:val="21"/>
        </w:rPr>
        <w:instrText xml:space="preserve"> </w:instrText>
      </w:r>
      <w:r>
        <w:rPr>
          <w:rFonts w:hint="eastAsia" w:ascii="宋体" w:hAnsi="宋体"/>
          <w:sz w:val="21"/>
          <w:szCs w:val="21"/>
        </w:rPr>
        <w:instrText xml:space="preserve">SEQ 表格 \* ARABIC</w:instrText>
      </w:r>
      <w:r>
        <w:rPr>
          <w:rFonts w:ascii="宋体" w:hAnsi="宋体"/>
          <w:sz w:val="21"/>
          <w:szCs w:val="21"/>
        </w:rPr>
        <w:instrText xml:space="preserve"> </w:instrText>
      </w:r>
      <w:r>
        <w:rPr>
          <w:rFonts w:ascii="宋体" w:hAnsi="宋体"/>
          <w:sz w:val="21"/>
          <w:szCs w:val="21"/>
        </w:rPr>
        <w:fldChar w:fldCharType="separate"/>
      </w:r>
      <w:r>
        <w:rPr>
          <w:rFonts w:ascii="宋体" w:hAnsi="宋体"/>
          <w:sz w:val="21"/>
          <w:szCs w:val="21"/>
        </w:rPr>
        <w:t>1</w:t>
      </w:r>
      <w:r>
        <w:rPr>
          <w:rFonts w:ascii="宋体" w:hAnsi="宋体"/>
          <w:sz w:val="21"/>
          <w:szCs w:val="21"/>
        </w:rPr>
        <w:fldChar w:fldCharType="end"/>
      </w:r>
      <w:r>
        <w:rPr>
          <w:rFonts w:hint="eastAsia" w:ascii="宋体" w:hAnsi="宋体" w:cs="仿宋"/>
          <w:color w:val="000000"/>
          <w:sz w:val="21"/>
          <w:szCs w:val="21"/>
        </w:rPr>
        <w:t>蚕桑养殖的现状</w:t>
      </w:r>
      <w:bookmarkEnd w:id="51"/>
    </w:p>
    <w:tbl>
      <w:tblPr>
        <w:tblStyle w:val="20"/>
        <w:tblW w:w="0" w:type="auto"/>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120" w:type="dxa"/>
          <w:left w:w="60" w:type="dxa"/>
          <w:bottom w:w="120" w:type="dxa"/>
          <w:right w:w="60" w:type="dxa"/>
        </w:tblCellMar>
      </w:tblPr>
      <w:tblGrid>
        <w:gridCol w:w="1410"/>
        <w:gridCol w:w="3914"/>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480" w:hRule="atLeast"/>
          <w:jc w:val="center"/>
        </w:trPr>
        <w:tc>
          <w:tcPr>
            <w:tcW w:w="1410" w:type="dxa"/>
            <w:vMerge w:val="restart"/>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rPr>
                <w:rFonts w:ascii="宋体" w:hAnsi="宋体" w:cs="仿宋"/>
                <w:color w:val="000000"/>
                <w:sz w:val="21"/>
                <w:szCs w:val="21"/>
              </w:rPr>
            </w:pPr>
            <w:r>
              <w:rPr>
                <w:rFonts w:ascii="宋体" w:hAnsi="宋体"/>
                <w:sz w:val="21"/>
                <w:szCs w:val="21"/>
              </w:rPr>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121285</wp:posOffset>
                      </wp:positionV>
                      <wp:extent cx="651510" cy="1981200"/>
                      <wp:effectExtent l="0" t="0" r="3810" b="0"/>
                      <wp:wrapNone/>
                      <wp:docPr id="16" name="文本框 16"/>
                      <wp:cNvGraphicFramePr/>
                      <a:graphic xmlns:a="http://schemas.openxmlformats.org/drawingml/2006/main">
                        <a:graphicData uri="http://schemas.microsoft.com/office/word/2010/wordprocessingShape">
                          <wps:wsp>
                            <wps:cNvSpPr txBox="1"/>
                            <wps:spPr>
                              <a:xfrm>
                                <a:off x="1891030" y="1078230"/>
                                <a:ext cx="651510" cy="1981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21"/>
                                      <w:szCs w:val="21"/>
                                    </w:rPr>
                                  </w:pPr>
                                  <w:r>
                                    <w:rPr>
                                      <w:rFonts w:hint="eastAsia"/>
                                      <w:b/>
                                      <w:bCs/>
                                      <w:sz w:val="21"/>
                                      <w:szCs w:val="21"/>
                                    </w:rPr>
                                    <w:t>蚕桑养殖的现状</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pt;margin-top:9.55pt;height:156pt;width:51.3pt;z-index:251664384;mso-width-relative:page;mso-height-relative:page;" filled="f" stroked="f" coordsize="21600,21600" o:gfxdata="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JwxLNgAAAAJAQAADwAAAAAAAAABACAA&#10;AAAiAAAAZHJzL2Rvd25yZXYueG1sUEsBAhQAFAAAAAgAh07iQAEAGetGAgAAdgQAAA4AAAAAAAAA&#10;AQAgAAAAJwEAAGRycy9lMm9Eb2MueG1sUEsFBgAAAAAGAAYAWQEAAN8FAAAAAA==&#10;">
                      <v:fill on="f" focussize="0,0"/>
                      <v:stroke on="f" weight="0.5pt"/>
                      <v:imagedata o:title=""/>
                      <o:lock v:ext="edit" aspectratio="f"/>
                      <v:textbox style="layout-flow:vertical-ideographic;">
                        <w:txbxContent>
                          <w:p>
                            <w:pPr>
                              <w:rPr>
                                <w:b/>
                                <w:bCs/>
                                <w:sz w:val="21"/>
                                <w:szCs w:val="21"/>
                              </w:rPr>
                            </w:pPr>
                            <w:r>
                              <w:rPr>
                                <w:rFonts w:hint="eastAsia"/>
                                <w:b/>
                                <w:bCs/>
                                <w:sz w:val="21"/>
                                <w:szCs w:val="21"/>
                              </w:rPr>
                              <w:t>蚕桑养殖的现状</w:t>
                            </w:r>
                          </w:p>
                        </w:txbxContent>
                      </v:textbox>
                    </v:shape>
                  </w:pict>
                </mc:Fallback>
              </mc:AlternateContent>
            </w: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2EFDA" w:themeFill="accent6" w:themeFillTint="32"/>
            <w:vAlign w:val="center"/>
          </w:tcPr>
          <w:p>
            <w:pPr>
              <w:snapToGrid w:val="0"/>
              <w:jc w:val="center"/>
              <w:rPr>
                <w:rFonts w:ascii="宋体" w:hAnsi="宋体" w:cs="仿宋"/>
                <w:b/>
                <w:bCs/>
                <w:sz w:val="21"/>
                <w:szCs w:val="21"/>
              </w:rPr>
            </w:pPr>
            <w:r>
              <w:rPr>
                <w:rFonts w:hint="eastAsia" w:ascii="宋体" w:hAnsi="宋体" w:cs="仿宋"/>
                <w:b/>
                <w:bCs/>
                <w:color w:val="000000"/>
                <w:sz w:val="21"/>
                <w:szCs w:val="21"/>
              </w:rPr>
              <w:t>1.投入资金大</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480" w:hRule="atLeast"/>
          <w:jc w:val="center"/>
        </w:trPr>
        <w:tc>
          <w:tcPr>
            <w:tcW w:w="1410" w:type="dxa"/>
            <w:vMerge w:val="continue"/>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jc w:val="center"/>
              <w:rPr>
                <w:rFonts w:ascii="宋体" w:hAnsi="宋体" w:cs="仿宋"/>
                <w:color w:val="000000"/>
                <w:sz w:val="21"/>
                <w:szCs w:val="21"/>
              </w:rPr>
            </w:pP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A8D08D" w:themeFill="accent6" w:themeFillTint="99"/>
            <w:vAlign w:val="center"/>
          </w:tcPr>
          <w:p>
            <w:pPr>
              <w:snapToGrid w:val="0"/>
              <w:jc w:val="center"/>
              <w:rPr>
                <w:rFonts w:ascii="宋体" w:hAnsi="宋体" w:cs="仿宋"/>
                <w:b/>
                <w:bCs/>
                <w:color w:val="000000"/>
                <w:sz w:val="21"/>
                <w:szCs w:val="21"/>
              </w:rPr>
            </w:pPr>
            <w:r>
              <w:rPr>
                <w:rFonts w:hint="eastAsia" w:ascii="宋体" w:hAnsi="宋体" w:cs="仿宋"/>
                <w:b/>
                <w:bCs/>
                <w:color w:val="000000"/>
                <w:sz w:val="21"/>
                <w:szCs w:val="21"/>
              </w:rPr>
              <w:t>2.养殖技术落后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567" w:hRule="atLeast"/>
          <w:jc w:val="center"/>
        </w:trPr>
        <w:tc>
          <w:tcPr>
            <w:tcW w:w="1410" w:type="dxa"/>
            <w:vMerge w:val="continue"/>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jc w:val="center"/>
              <w:rPr>
                <w:rFonts w:ascii="仿宋" w:hAnsi="仿宋" w:eastAsia="仿宋" w:cs="仿宋"/>
                <w:color w:val="000000"/>
              </w:rPr>
            </w:pP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E2EFDA" w:themeFill="accent6" w:themeFillTint="32"/>
            <w:vAlign w:val="center"/>
          </w:tcPr>
          <w:p>
            <w:pPr>
              <w:snapToGrid w:val="0"/>
              <w:jc w:val="center"/>
              <w:rPr>
                <w:rFonts w:ascii="宋体" w:hAnsi="宋体" w:cs="仿宋"/>
                <w:b/>
                <w:bCs/>
                <w:color w:val="000000"/>
                <w:sz w:val="21"/>
                <w:szCs w:val="21"/>
              </w:rPr>
            </w:pPr>
            <w:r>
              <w:rPr>
                <w:rFonts w:hint="eastAsia" w:ascii="宋体" w:hAnsi="宋体" w:cs="仿宋"/>
                <w:b/>
                <w:bCs/>
                <w:color w:val="000000"/>
                <w:sz w:val="21"/>
                <w:szCs w:val="21"/>
              </w:rPr>
              <w:t>3.未进行科学消毒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120" w:type="dxa"/>
            <w:left w:w="60" w:type="dxa"/>
            <w:bottom w:w="120" w:type="dxa"/>
            <w:right w:w="60" w:type="dxa"/>
          </w:tblCellMar>
        </w:tblPrEx>
        <w:trPr>
          <w:trHeight w:val="492" w:hRule="atLeast"/>
          <w:jc w:val="center"/>
        </w:trPr>
        <w:tc>
          <w:tcPr>
            <w:tcW w:w="1410" w:type="dxa"/>
            <w:vMerge w:val="continue"/>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91C36F"/>
            <w:vAlign w:val="center"/>
          </w:tcPr>
          <w:p>
            <w:pPr>
              <w:snapToGrid w:val="0"/>
              <w:jc w:val="center"/>
              <w:rPr>
                <w:rFonts w:ascii="仿宋" w:hAnsi="仿宋" w:eastAsia="仿宋" w:cs="仿宋"/>
                <w:color w:val="000000"/>
              </w:rPr>
            </w:pPr>
          </w:p>
        </w:tc>
        <w:tc>
          <w:tcPr>
            <w:tcW w:w="3914"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A8D08D" w:themeFill="accent6" w:themeFillTint="99"/>
            <w:vAlign w:val="center"/>
          </w:tcPr>
          <w:p>
            <w:pPr>
              <w:snapToGrid w:val="0"/>
              <w:jc w:val="center"/>
              <w:rPr>
                <w:rFonts w:ascii="宋体" w:hAnsi="宋体" w:cs="仿宋"/>
                <w:b/>
                <w:bCs/>
                <w:color w:val="000000"/>
                <w:sz w:val="21"/>
                <w:szCs w:val="21"/>
              </w:rPr>
            </w:pPr>
            <w:r>
              <w:rPr>
                <w:rFonts w:hint="eastAsia" w:ascii="宋体" w:hAnsi="宋体" w:cs="仿宋"/>
                <w:b/>
                <w:bCs/>
                <w:color w:val="000000"/>
                <w:sz w:val="21"/>
                <w:szCs w:val="21"/>
              </w:rPr>
              <w:t>4.劳动力紧张</w:t>
            </w:r>
          </w:p>
        </w:tc>
      </w:tr>
    </w:tbl>
    <w:p>
      <w:pPr>
        <w:rPr>
          <w:rFonts w:hint="eastAsia"/>
        </w:rPr>
      </w:pPr>
      <w:bookmarkStart w:id="52" w:name="_Toc11603"/>
      <w:bookmarkStart w:id="53" w:name="_Toc12037"/>
      <w:bookmarkStart w:id="54" w:name="_Toc4896"/>
    </w:p>
    <w:bookmarkEnd w:id="52"/>
    <w:bookmarkEnd w:id="53"/>
    <w:bookmarkEnd w:id="54"/>
    <w:p>
      <w:pPr>
        <w:pStyle w:val="4"/>
      </w:pPr>
      <w:bookmarkStart w:id="55" w:name="_Toc90339029"/>
      <w:bookmarkStart w:id="56" w:name="_Toc19994"/>
      <w:r>
        <w:rPr>
          <w:rFonts w:hint="eastAsia"/>
        </w:rPr>
        <w:t>政治环境</w:t>
      </w:r>
      <w:bookmarkEnd w:id="55"/>
      <w:bookmarkEnd w:id="56"/>
    </w:p>
    <w:p>
      <w:pPr>
        <w:pStyle w:val="37"/>
        <w:ind w:firstLine="560"/>
      </w:pPr>
      <w:r>
        <w:rPr>
          <w:rFonts w:hint="eastAsia"/>
        </w:rPr>
        <w:t>虽然蚕桑产业面临诸多困难，但这也为蚕桑行业的发展提供了最佳的契机，要想推进蚕桑行业的发展进程，需要行业人士找出影响蚕桑行业发展的问题，并针对问题制定有效的发展对策，以保障蚕桑行业的发展与时代接轨，提升蚕桑行业的经济效益。全国人大代表、中国丝绸博物馆副馆长赵丰建议，应尽快将“中国蚕桑丝织”申报世界人类口头与非物质文化遗产，以确立中国蚕桑丝织在世界上的原创地位，并将中国蚕桑丝织作为一个文化遗产在整体上得到保护。习近平总书记在党的</w:t>
      </w:r>
      <w:bookmarkStart w:id="57" w:name="OLE_LINK1"/>
      <w:r>
        <w:rPr>
          <w:rFonts w:hint="eastAsia"/>
        </w:rPr>
        <w:t>“十九大”工作报告中明确指出，推进乡村经济建设和农业振兴符合国家经济发展重大战略。</w:t>
      </w:r>
      <w:bookmarkEnd w:id="57"/>
      <w:r>
        <w:rPr>
          <w:rFonts w:hint="eastAsia"/>
        </w:rPr>
        <w:t>党的中央政府经济工作会议报告再次指出，按照产业繁荣、生态宜居的经济发展总体目标要求，优先发展新型农业和乡镇，建立并完善城乡区域 经济一体化发展的制度机构和政策框架，加快农业与乡镇现代化的建设，促进乡风文明和乡村人民群众生活富裕。早在2016年，为贯彻落实《中华人民共和国国民经济和社会发展第十三个五年计划规划纲要》，推动茧丝绸行业实现“质量效益型“增长，国家商务部就印发了《茧丝绸行业“十三五”发展纲要》。为了落实此纲要，商务部决定开展规模化集约化蚕桑示范基地建设工作。在2020年国家六部门联合发布的《蚕桑丝绸产业高质量发展行动计划（2021-2025）》中的指导思想为以习近平新时代中国特色社会主义思想为指导，全面贯彻党的十九大和十九届二中、三中、四中全会精神，坚持新发展理念，落实高质量发展要求，大力推进蚕桑丝绸产业供给侧结构性改革，着力构建一二三产业协同发展、大中小企业融通发展新体系，增强创新驱动发展新动能，探索产业转型新模式，开创新时代蚕桑丝绸产业发展新局面。；其中它的重点任务中有一条就是要提升科技创新能力，如：支持蚕桑良种选育，开发省力蚕桑机械等。</w:t>
      </w:r>
    </w:p>
    <w:p>
      <w:pPr>
        <w:pStyle w:val="4"/>
      </w:pPr>
      <w:bookmarkStart w:id="58" w:name="_Toc16572"/>
      <w:bookmarkStart w:id="59" w:name="_Toc90339030"/>
      <w:r>
        <w:rPr>
          <w:rFonts w:hint="eastAsia"/>
        </w:rPr>
        <w:t>乡村振兴</w:t>
      </w:r>
      <w:bookmarkEnd w:id="58"/>
      <w:bookmarkEnd w:id="59"/>
    </w:p>
    <w:p>
      <w:pPr>
        <w:pStyle w:val="37"/>
        <w:ind w:firstLine="560"/>
      </w:pPr>
      <w:r>
        <w:rPr>
          <w:rFonts w:hint="eastAsia"/>
        </w:rPr>
        <w:t>我国的桑蚕产业非常发达，有着完善的产业结构、且丝绸之路的开通更是使我国与世界经济有了更为广泛的互动，同时，我国脱贫攻坚战已经进入到“巩固脱贫攻坚成果，统筹做好脱贫攻坚与乡村振兴的机制衔接”阶段，更加需要产业与扶贫深度互动。在这样的背景下，与农村相适应的桑蚕业进入了人们的视野。但目前桑蚕产业发展还远远不能满足贫困地区持续有效脱贫的需求。据调研，桑蚕养殖面临农村地区设备稀缺、技术落后、人力资源稀少等问题，难以产生持续、稳定的产业效益。而市场上的大多数产品大都是大型化、粗放、昂贵等缺点。本项目计划实现一个对蚕实时视频的收集，分析和反馈，能够识别、分类和统计蚕的不同生长状态和当前蚕室的环境状况，24小时实时监测病虫害，并提供养殖辅助解决方案的智能系统。在技术不足，人员流失严重的贫困乡村地区，帮助务农人员实现简易化、智能化养殖，发挥蚕桑养殖优势，助推乡村振兴，助力脱贫攻坚。</w:t>
      </w:r>
    </w:p>
    <w:p>
      <w:pPr>
        <w:snapToGrid w:val="0"/>
        <w:ind w:firstLine="420"/>
        <w:rPr>
          <w:rFonts w:ascii="仿宋" w:hAnsi="仿宋" w:eastAsia="仿宋" w:cs="仿宋"/>
          <w:color w:val="000000"/>
          <w:shd w:val="clear" w:color="auto" w:fill="FFFFFF"/>
        </w:rPr>
      </w:pPr>
    </w:p>
    <w:p>
      <w:pPr>
        <w:pStyle w:val="3"/>
      </w:pPr>
      <w:bookmarkStart w:id="60" w:name="_Toc90339031"/>
      <w:bookmarkStart w:id="61" w:name="_Toc7618"/>
      <w:bookmarkStart w:id="62" w:name="_Toc12799"/>
      <w:bookmarkStart w:id="63" w:name="_Toc14927"/>
      <w:bookmarkStart w:id="64" w:name="_Toc28924"/>
      <w:r>
        <w:rPr>
          <w:rFonts w:hint="eastAsia"/>
        </w:rPr>
        <w:t>行业分析</w:t>
      </w:r>
      <w:bookmarkEnd w:id="60"/>
      <w:bookmarkEnd w:id="61"/>
      <w:bookmarkEnd w:id="62"/>
      <w:bookmarkEnd w:id="63"/>
      <w:bookmarkEnd w:id="64"/>
    </w:p>
    <w:p>
      <w:pPr>
        <w:pStyle w:val="4"/>
      </w:pPr>
      <w:bookmarkStart w:id="65" w:name="_Toc18654"/>
      <w:bookmarkStart w:id="66" w:name="_Toc29704"/>
      <w:bookmarkStart w:id="67" w:name="_Toc90339032"/>
      <w:bookmarkStart w:id="68" w:name="_Toc3374"/>
      <w:bookmarkStart w:id="69" w:name="_Toc17263"/>
      <w:r>
        <w:rPr>
          <w:rFonts w:hint="eastAsia"/>
        </w:rPr>
        <w:t>产业容量</w:t>
      </w:r>
      <w:bookmarkEnd w:id="65"/>
      <w:bookmarkEnd w:id="66"/>
      <w:bookmarkEnd w:id="67"/>
      <w:bookmarkEnd w:id="68"/>
      <w:bookmarkEnd w:id="69"/>
    </w:p>
    <w:p>
      <w:pPr>
        <w:pStyle w:val="37"/>
        <w:ind w:firstLine="560"/>
      </w:pPr>
      <w:r>
        <w:rPr>
          <w:rFonts w:hint="eastAsia"/>
        </w:rPr>
        <w:t>本产品针对目前桑蚕养殖行业，伴随着世界经济一体化不断发展，近年来丝绸畅销世界各地，伴随着丝绸制品的巨大需求桑蚕养殖业也随之蓬勃发展，未来市场仍将持续扩大。桑蚕养殖智能化机械产品尚未走进实际生产链条。该类市场处于空白阶段，市场容量巨大。</w:t>
      </w:r>
    </w:p>
    <w:p>
      <w:pPr>
        <w:pStyle w:val="4"/>
      </w:pPr>
      <w:bookmarkStart w:id="70" w:name="_Toc26932"/>
      <w:bookmarkStart w:id="71" w:name="_Toc90339033"/>
      <w:bookmarkStart w:id="72" w:name="_Toc25489"/>
      <w:bookmarkStart w:id="73" w:name="_Toc7243"/>
      <w:bookmarkStart w:id="74" w:name="_Toc638"/>
      <w:r>
        <w:rPr>
          <w:rFonts w:hint="eastAsia"/>
        </w:rPr>
        <w:t>行业发展趋势</w:t>
      </w:r>
      <w:bookmarkEnd w:id="70"/>
      <w:bookmarkEnd w:id="71"/>
      <w:bookmarkEnd w:id="72"/>
      <w:bookmarkEnd w:id="73"/>
      <w:bookmarkEnd w:id="74"/>
    </w:p>
    <w:p>
      <w:pPr>
        <w:pStyle w:val="37"/>
        <w:ind w:firstLine="560"/>
      </w:pPr>
      <w:r>
        <w:rPr>
          <w:rFonts w:hint="eastAsia"/>
        </w:rPr>
        <w:t>中国丝绸有着极为悠久的历史，它伴随着华夏文明的发展。在世界上中国丝绸也同样极具盛名，来自中国的丝绸制品大量出口至世界各地。作为丝绸产业的基础桑蚕养殖业同样存在极大的市场需求，因此为了解决农村地区设备稀缺、技术落后、人力资源稀少等问题扩大生产规模积极满足丝绸制作的巨大需求，桑蚕养殖智能化势在必行。</w:t>
      </w:r>
    </w:p>
    <w:p>
      <w:pPr>
        <w:pStyle w:val="4"/>
      </w:pPr>
      <w:bookmarkStart w:id="75" w:name="_Toc90339034"/>
      <w:bookmarkStart w:id="76" w:name="_Toc4584"/>
      <w:r>
        <w:rPr>
          <w:rFonts w:hint="eastAsia"/>
        </w:rPr>
        <w:t>政策影响</w:t>
      </w:r>
      <w:bookmarkEnd w:id="75"/>
      <w:bookmarkEnd w:id="76"/>
    </w:p>
    <w:p>
      <w:pPr>
        <w:pStyle w:val="37"/>
        <w:ind w:firstLine="560"/>
      </w:pPr>
      <w:r>
        <w:rPr>
          <w:rFonts w:hint="eastAsia"/>
        </w:rPr>
        <w:t>随着“一带一路”的不断建设和脱贫攻坚战的完美收官，产生了一批以养蚕为基础产业的特色养殖类基地。在国家政策的大力扶持下逐步形成了较为完善的产业链条，各项市场需求进一步扩大，</w:t>
      </w:r>
      <w:bookmarkStart w:id="77" w:name="OLE_LINK3"/>
      <w:r>
        <w:rPr>
          <w:rFonts w:hint="eastAsia"/>
        </w:rPr>
        <w:t>桑蚕养殖数字化智能化已经成为必然趋势</w:t>
      </w:r>
      <w:bookmarkEnd w:id="77"/>
      <w:r>
        <w:rPr>
          <w:rFonts w:hint="eastAsia"/>
        </w:rPr>
        <w:t>，市场对于桑蚕养殖智能化机械的需求巨大。</w:t>
      </w:r>
    </w:p>
    <w:p>
      <w:pPr>
        <w:pStyle w:val="4"/>
      </w:pPr>
      <w:bookmarkStart w:id="78" w:name="_Toc27120"/>
      <w:bookmarkStart w:id="79" w:name="_Toc7429"/>
      <w:bookmarkStart w:id="80" w:name="_Toc14510"/>
      <w:bookmarkStart w:id="81" w:name="_Toc90339035"/>
      <w:bookmarkStart w:id="82" w:name="_Toc22997"/>
      <w:r>
        <w:rPr>
          <w:rFonts w:hint="eastAsia"/>
        </w:rPr>
        <w:t>技术发展对该行业的影响</w:t>
      </w:r>
      <w:bookmarkEnd w:id="78"/>
      <w:bookmarkEnd w:id="79"/>
      <w:bookmarkEnd w:id="80"/>
      <w:bookmarkEnd w:id="81"/>
      <w:bookmarkEnd w:id="82"/>
    </w:p>
    <w:p>
      <w:pPr>
        <w:pStyle w:val="37"/>
        <w:ind w:firstLine="560"/>
      </w:pPr>
      <w:r>
        <w:rPr>
          <w:rFonts w:hint="eastAsia"/>
        </w:rPr>
        <w:t>随着科学技术的开展，低本钱自动化LCA(LowCostAutomation)开始出现，并在大多数国家得到了很好的推广应用。近年来中国自动化开展程度正不断加快，自动化工厂也随之产生并应用于各行各业，生产链条的智能化自动化不仅可以提高生产效率，降低生产成本，并且可以减少人力资源的应用，促进人才再整合进而实现行业内人力资源结构再升级。</w:t>
      </w:r>
    </w:p>
    <w:p>
      <w:pPr>
        <w:snapToGrid w:val="0"/>
        <w:rPr>
          <w:rFonts w:ascii="仿宋" w:hAnsi="仿宋" w:eastAsia="仿宋" w:cs="仿宋"/>
          <w:color w:val="000000"/>
          <w:shd w:val="clear" w:color="auto" w:fill="FFFFFF"/>
        </w:rPr>
      </w:pPr>
    </w:p>
    <w:p>
      <w:pPr>
        <w:pStyle w:val="3"/>
      </w:pPr>
      <w:bookmarkStart w:id="83" w:name="_Toc8693"/>
      <w:bookmarkStart w:id="84" w:name="_Toc12014"/>
      <w:bookmarkStart w:id="85" w:name="_Toc31742"/>
      <w:bookmarkStart w:id="86" w:name="_Toc90339036"/>
      <w:bookmarkStart w:id="87" w:name="_Toc24173"/>
      <w:r>
        <w:rPr>
          <w:rFonts w:hint="eastAsia"/>
        </w:rPr>
        <w:t>市场</w:t>
      </w:r>
      <w:bookmarkEnd w:id="83"/>
      <w:bookmarkEnd w:id="84"/>
      <w:bookmarkEnd w:id="85"/>
      <w:r>
        <w:rPr>
          <w:rFonts w:hint="eastAsia"/>
        </w:rPr>
        <w:t>痛点</w:t>
      </w:r>
      <w:bookmarkEnd w:id="86"/>
      <w:bookmarkEnd w:id="87"/>
    </w:p>
    <w:p>
      <w:pPr>
        <w:pStyle w:val="4"/>
      </w:pPr>
      <w:bookmarkStart w:id="88" w:name="_Toc90339037"/>
      <w:r>
        <w:t>市场痛点</w:t>
      </w:r>
      <w:bookmarkEnd w:id="88"/>
    </w:p>
    <w:p>
      <w:pPr>
        <w:pStyle w:val="37"/>
        <w:ind w:firstLine="562"/>
        <w:rPr>
          <w:b/>
          <w:bCs w:val="0"/>
        </w:rPr>
      </w:pPr>
      <w:r>
        <w:rPr>
          <w:rFonts w:hint="eastAsia"/>
          <w:b/>
          <w:bCs w:val="0"/>
        </w:rPr>
        <w:t>（</w:t>
      </w:r>
      <w:r>
        <w:rPr>
          <w:b/>
          <w:bCs w:val="0"/>
        </w:rPr>
        <w:t>1</w:t>
      </w:r>
      <w:r>
        <w:rPr>
          <w:rFonts w:hint="eastAsia"/>
          <w:b/>
          <w:bCs w:val="0"/>
        </w:rPr>
        <w:t>）</w:t>
      </w:r>
      <w:r>
        <w:rPr>
          <w:b/>
          <w:bCs w:val="0"/>
        </w:rPr>
        <w:t>农村养殖技术落后。</w:t>
      </w:r>
    </w:p>
    <w:p>
      <w:pPr>
        <w:pStyle w:val="37"/>
        <w:ind w:firstLine="560"/>
      </w:pPr>
      <w:r>
        <w:t>大多数情况下，农村地区都采用人工饲养，机械化和智能化程度几乎为零。养殖人员每天花费大量时间从事于简单重复劳作，例如在温度检测上来回往复，无法对数据进行统一实时分析。在当前数字化改革的浪潮下，养殖技术仍依赖简单劳动力，体现出剧烈的不稳定不确定性，已经严重落后于时代发展。</w:t>
      </w:r>
    </w:p>
    <w:p>
      <w:pPr>
        <w:pStyle w:val="37"/>
        <w:ind w:firstLine="562"/>
        <w:rPr>
          <w:b/>
          <w:bCs w:val="0"/>
        </w:rPr>
      </w:pPr>
      <w:r>
        <w:rPr>
          <w:rFonts w:hint="eastAsia"/>
          <w:b/>
          <w:bCs w:val="0"/>
        </w:rPr>
        <w:t>（</w:t>
      </w:r>
      <w:r>
        <w:rPr>
          <w:b/>
          <w:bCs w:val="0"/>
        </w:rPr>
        <w:t>2</w:t>
      </w:r>
      <w:r>
        <w:rPr>
          <w:rFonts w:hint="eastAsia"/>
          <w:b/>
          <w:bCs w:val="0"/>
        </w:rPr>
        <w:t>）</w:t>
      </w:r>
      <w:r>
        <w:rPr>
          <w:b/>
          <w:bCs w:val="0"/>
        </w:rPr>
        <w:t>劳动力素质低，数量少。</w:t>
      </w:r>
    </w:p>
    <w:p>
      <w:pPr>
        <w:pStyle w:val="37"/>
        <w:ind w:firstLine="560"/>
      </w:pPr>
      <w:r>
        <w:t>当下城市化进程加快，老龄化程度较高，农村大量年轻劳动力外流，剩下的劳动力呈现出素质不高，生产力不足的情况。当前的劳动力能执行的操作单一，不会在已经学会的技能上面进行提升，同样也不会对已有技能进行优化，但当前蚕桑养殖业没有相应的产品能对此现象进行一定的改变。</w:t>
      </w:r>
    </w:p>
    <w:p>
      <w:pPr>
        <w:pStyle w:val="37"/>
        <w:ind w:firstLine="562"/>
        <w:rPr>
          <w:b/>
          <w:bCs w:val="0"/>
        </w:rPr>
      </w:pPr>
      <w:r>
        <w:rPr>
          <w:rFonts w:hint="eastAsia"/>
          <w:b/>
          <w:bCs w:val="0"/>
        </w:rPr>
        <w:t>（3）</w:t>
      </w:r>
      <w:r>
        <w:rPr>
          <w:b/>
          <w:bCs w:val="0"/>
        </w:rPr>
        <w:t>缺少科学的管理和规划。</w:t>
      </w:r>
    </w:p>
    <w:p>
      <w:pPr>
        <w:pStyle w:val="37"/>
        <w:ind w:firstLine="560"/>
      </w:pPr>
      <w:r>
        <w:t>蚕桑业由于低下的养殖技术和较低的生产力素质，个体无法对养殖规划制定详细的方案，造成资金投入过高，又缺乏较完善的预算方案，造成资金浪费。养殖环节上也缺少科学管理，例如未实行科学的、全面的消毒措施，导致蚕死、蚕病的现象发生。</w:t>
      </w:r>
    </w:p>
    <w:p>
      <w:pPr>
        <w:pStyle w:val="37"/>
        <w:ind w:firstLine="562"/>
        <w:rPr>
          <w:b/>
          <w:bCs w:val="0"/>
        </w:rPr>
      </w:pPr>
      <w:r>
        <w:rPr>
          <w:rFonts w:hint="eastAsia"/>
          <w:b/>
          <w:bCs w:val="0"/>
        </w:rPr>
        <w:t>（</w:t>
      </w:r>
      <w:r>
        <w:rPr>
          <w:b/>
          <w:bCs w:val="0"/>
        </w:rPr>
        <w:t>4</w:t>
      </w:r>
      <w:r>
        <w:rPr>
          <w:rFonts w:hint="eastAsia"/>
          <w:b/>
          <w:bCs w:val="0"/>
        </w:rPr>
        <w:t>）</w:t>
      </w:r>
      <w:r>
        <w:rPr>
          <w:b/>
          <w:bCs w:val="0"/>
        </w:rPr>
        <w:t>规模小</w:t>
      </w:r>
      <w:r>
        <w:rPr>
          <w:rFonts w:hint="eastAsia"/>
          <w:b/>
          <w:bCs w:val="0"/>
        </w:rPr>
        <w:t>、</w:t>
      </w:r>
      <w:r>
        <w:rPr>
          <w:b/>
          <w:bCs w:val="0"/>
        </w:rPr>
        <w:t>产量少</w:t>
      </w:r>
      <w:r>
        <w:rPr>
          <w:rFonts w:hint="eastAsia"/>
          <w:b/>
          <w:bCs w:val="0"/>
        </w:rPr>
        <w:t>、</w:t>
      </w:r>
      <w:r>
        <w:rPr>
          <w:b/>
          <w:bCs w:val="0"/>
        </w:rPr>
        <w:t>利润低。</w:t>
      </w:r>
    </w:p>
    <w:p>
      <w:pPr>
        <w:pStyle w:val="37"/>
        <w:ind w:firstLine="560"/>
        <w:rPr>
          <w:rFonts w:hint="eastAsia"/>
        </w:rPr>
      </w:pPr>
      <w:r>
        <w:t>由于蚕桑业无法形成产业化发展，工业用地增加，蚕桑业的规模被其他效益更高的养殖业挤兑，导致规模越来越小，个体加大投入无法获得等价的收益，导致利润低，濒临破产。</w:t>
      </w:r>
    </w:p>
    <w:p>
      <w:pPr>
        <w:pStyle w:val="3"/>
        <w:rPr>
          <w:rFonts w:ascii="仿宋" w:hAnsi="仿宋" w:eastAsia="仿宋" w:cs="仿宋"/>
          <w:b/>
          <w:bCs/>
          <w:color w:val="000000"/>
        </w:rPr>
      </w:pPr>
      <w:bookmarkStart w:id="89" w:name="_Toc30586"/>
      <w:bookmarkStart w:id="90" w:name="_Toc90339038"/>
      <w:r>
        <w:rPr>
          <w:rFonts w:hint="eastAsia"/>
        </w:rPr>
        <w:t>新旧模式的优劣分析</w:t>
      </w:r>
      <w:bookmarkEnd w:id="89"/>
      <w:bookmarkEnd w:id="90"/>
    </w:p>
    <w:tbl>
      <w:tblPr>
        <w:tblStyle w:val="20"/>
        <w:tblW w:w="0" w:type="auto"/>
        <w:jc w:val="center"/>
        <w:tblLayout w:type="fixed"/>
        <w:tblCellMar>
          <w:top w:w="120" w:type="dxa"/>
          <w:left w:w="60" w:type="dxa"/>
          <w:bottom w:w="120" w:type="dxa"/>
          <w:right w:w="60" w:type="dxa"/>
        </w:tblCellMar>
      </w:tblPr>
      <w:tblGrid>
        <w:gridCol w:w="1186"/>
        <w:gridCol w:w="3582"/>
        <w:gridCol w:w="3390"/>
      </w:tblGrid>
      <w:tr>
        <w:tblPrEx>
          <w:tblCellMar>
            <w:top w:w="120" w:type="dxa"/>
            <w:left w:w="60" w:type="dxa"/>
            <w:bottom w:w="120" w:type="dxa"/>
            <w:right w:w="60" w:type="dxa"/>
          </w:tblCellMar>
        </w:tblPrEx>
        <w:trPr>
          <w:trHeight w:val="480" w:hRule="atLeast"/>
          <w:jc w:val="center"/>
        </w:trPr>
        <w:tc>
          <w:tcPr>
            <w:tcW w:w="1186"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85BB5D"/>
          </w:tcPr>
          <w:p>
            <w:pPr>
              <w:snapToGrid w:val="0"/>
              <w:rPr>
                <w:rFonts w:ascii="宋体" w:hAnsi="宋体" w:cs="仿宋"/>
                <w:color w:val="000000" w:themeColor="text1"/>
                <w:sz w:val="21"/>
                <w:szCs w:val="21"/>
                <w14:textFill>
                  <w14:solidFill>
                    <w14:schemeClr w14:val="tx1"/>
                  </w14:solidFill>
                </w14:textFill>
              </w:rPr>
            </w:pPr>
          </w:p>
        </w:tc>
        <w:tc>
          <w:tcPr>
            <w:tcW w:w="358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85BB5D"/>
          </w:tcPr>
          <w:p>
            <w:pPr>
              <w:snapToGrid w:val="0"/>
              <w:jc w:val="center"/>
              <w:rPr>
                <w:rFonts w:ascii="宋体" w:hAnsi="宋体" w:cs="仿宋"/>
                <w:color w:val="000000" w:themeColor="text1"/>
                <w:sz w:val="21"/>
                <w:szCs w:val="21"/>
                <w14:textFill>
                  <w14:solidFill>
                    <w14:schemeClr w14:val="tx1"/>
                  </w14:solidFill>
                </w14:textFill>
              </w:rPr>
            </w:pPr>
            <w:r>
              <w:rPr>
                <w:rFonts w:hint="eastAsia" w:ascii="宋体" w:hAnsi="宋体" w:cs="仿宋"/>
                <w:color w:val="000000" w:themeColor="text1"/>
                <w:sz w:val="21"/>
                <w:szCs w:val="21"/>
                <w14:textFill>
                  <w14:solidFill>
                    <w14:schemeClr w14:val="tx1"/>
                  </w14:solidFill>
                </w14:textFill>
              </w:rPr>
              <w:t>优势</w:t>
            </w:r>
          </w:p>
        </w:tc>
        <w:tc>
          <w:tcPr>
            <w:tcW w:w="33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85BB5D"/>
          </w:tcPr>
          <w:p>
            <w:pPr>
              <w:snapToGrid w:val="0"/>
              <w:jc w:val="center"/>
              <w:rPr>
                <w:rFonts w:ascii="宋体" w:hAnsi="宋体" w:cs="仿宋"/>
                <w:color w:val="000000" w:themeColor="text1"/>
                <w:sz w:val="21"/>
                <w:szCs w:val="21"/>
                <w14:textFill>
                  <w14:solidFill>
                    <w14:schemeClr w14:val="tx1"/>
                  </w14:solidFill>
                </w14:textFill>
              </w:rPr>
            </w:pPr>
            <w:r>
              <w:rPr>
                <w:rFonts w:hint="eastAsia" w:ascii="宋体" w:hAnsi="宋体" w:cs="仿宋"/>
                <w:color w:val="000000" w:themeColor="text1"/>
                <w:sz w:val="21"/>
                <w:szCs w:val="21"/>
                <w14:textFill>
                  <w14:solidFill>
                    <w14:schemeClr w14:val="tx1"/>
                  </w14:solidFill>
                </w14:textFill>
              </w:rPr>
              <w:t>劣势</w:t>
            </w:r>
          </w:p>
        </w:tc>
      </w:tr>
      <w:tr>
        <w:tblPrEx>
          <w:tblCellMar>
            <w:top w:w="120" w:type="dxa"/>
            <w:left w:w="60" w:type="dxa"/>
            <w:bottom w:w="120" w:type="dxa"/>
            <w:right w:w="60" w:type="dxa"/>
          </w:tblCellMar>
        </w:tblPrEx>
        <w:trPr>
          <w:trHeight w:val="480" w:hRule="atLeast"/>
          <w:jc w:val="center"/>
        </w:trPr>
        <w:tc>
          <w:tcPr>
            <w:tcW w:w="1186"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E2EFDA" w:themeFill="accent6" w:themeFillTint="32"/>
          </w:tcPr>
          <w:p>
            <w:pPr>
              <w:snapToGrid w:val="0"/>
              <w:jc w:val="center"/>
              <w:rPr>
                <w:rFonts w:ascii="宋体" w:hAnsi="宋体" w:cs="仿宋"/>
                <w:color w:val="000000"/>
                <w:sz w:val="21"/>
                <w:szCs w:val="21"/>
              </w:rPr>
            </w:pPr>
            <w:r>
              <w:rPr>
                <w:rFonts w:hint="eastAsia" w:ascii="宋体" w:hAnsi="宋体" w:cs="仿宋"/>
                <w:color w:val="000000"/>
                <w:sz w:val="21"/>
                <w:szCs w:val="21"/>
              </w:rPr>
              <w:t>传统</w:t>
            </w:r>
          </w:p>
          <w:p>
            <w:pPr>
              <w:snapToGrid w:val="0"/>
              <w:jc w:val="center"/>
              <w:rPr>
                <w:rFonts w:ascii="宋体" w:hAnsi="宋体" w:cs="仿宋"/>
                <w:color w:val="000000"/>
                <w:sz w:val="21"/>
                <w:szCs w:val="21"/>
              </w:rPr>
            </w:pPr>
          </w:p>
        </w:tc>
        <w:tc>
          <w:tcPr>
            <w:tcW w:w="358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E2EFDA" w:themeFill="accent6" w:themeFillTint="32"/>
          </w:tcPr>
          <w:p>
            <w:pPr>
              <w:snapToGrid w:val="0"/>
              <w:jc w:val="left"/>
              <w:rPr>
                <w:rFonts w:ascii="宋体" w:hAnsi="宋体" w:cs="仿宋"/>
                <w:color w:val="000000"/>
                <w:sz w:val="21"/>
                <w:szCs w:val="21"/>
              </w:rPr>
            </w:pPr>
            <w:r>
              <w:rPr>
                <w:rFonts w:hint="eastAsia" w:ascii="宋体" w:hAnsi="宋体" w:cs="仿宋"/>
                <w:color w:val="000000"/>
                <w:sz w:val="21"/>
                <w:szCs w:val="21"/>
              </w:rPr>
              <w:t>前期投入低、对养殖人员的技术要求不高</w:t>
            </w:r>
          </w:p>
        </w:tc>
        <w:tc>
          <w:tcPr>
            <w:tcW w:w="33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E2EFDA" w:themeFill="accent6" w:themeFillTint="32"/>
          </w:tcPr>
          <w:p>
            <w:pPr>
              <w:snapToGrid w:val="0"/>
              <w:jc w:val="left"/>
              <w:rPr>
                <w:rFonts w:ascii="宋体" w:hAnsi="宋体" w:cs="仿宋"/>
                <w:color w:val="000000"/>
                <w:sz w:val="21"/>
                <w:szCs w:val="21"/>
              </w:rPr>
            </w:pPr>
            <w:r>
              <w:rPr>
                <w:rFonts w:hint="eastAsia" w:ascii="宋体" w:hAnsi="宋体" w:cs="仿宋"/>
                <w:color w:val="000000"/>
                <w:sz w:val="21"/>
                <w:szCs w:val="21"/>
              </w:rPr>
              <w:t>养殖效率低下、产品品质层次不齐、缺乏具有专业知识的养殖人员、经济效益低</w:t>
            </w:r>
          </w:p>
        </w:tc>
      </w:tr>
      <w:tr>
        <w:tblPrEx>
          <w:tblCellMar>
            <w:top w:w="120" w:type="dxa"/>
            <w:left w:w="60" w:type="dxa"/>
            <w:bottom w:w="120" w:type="dxa"/>
            <w:right w:w="60" w:type="dxa"/>
          </w:tblCellMar>
        </w:tblPrEx>
        <w:trPr>
          <w:trHeight w:val="480" w:hRule="atLeast"/>
          <w:jc w:val="center"/>
        </w:trPr>
        <w:tc>
          <w:tcPr>
            <w:tcW w:w="1186"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E2EFDA" w:themeFill="accent6" w:themeFillTint="32"/>
          </w:tcPr>
          <w:p>
            <w:pPr>
              <w:snapToGrid w:val="0"/>
              <w:jc w:val="center"/>
              <w:rPr>
                <w:rFonts w:ascii="宋体" w:hAnsi="宋体" w:cs="仿宋"/>
                <w:color w:val="000000"/>
                <w:sz w:val="21"/>
                <w:szCs w:val="21"/>
              </w:rPr>
            </w:pPr>
            <w:r>
              <w:rPr>
                <w:rFonts w:hint="eastAsia" w:ascii="宋体" w:hAnsi="宋体" w:cs="仿宋"/>
                <w:color w:val="000000"/>
                <w:sz w:val="21"/>
                <w:szCs w:val="21"/>
              </w:rPr>
              <w:t>工厂</w:t>
            </w:r>
          </w:p>
        </w:tc>
        <w:tc>
          <w:tcPr>
            <w:tcW w:w="3582"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E2EFDA" w:themeFill="accent6" w:themeFillTint="32"/>
          </w:tcPr>
          <w:p>
            <w:pPr>
              <w:snapToGrid w:val="0"/>
              <w:jc w:val="left"/>
              <w:rPr>
                <w:rFonts w:ascii="宋体" w:hAnsi="宋体" w:cs="仿宋"/>
                <w:color w:val="000000"/>
                <w:sz w:val="21"/>
                <w:szCs w:val="21"/>
              </w:rPr>
            </w:pPr>
            <w:r>
              <w:rPr>
                <w:rFonts w:hint="eastAsia" w:ascii="宋体" w:hAnsi="宋体" w:cs="仿宋"/>
                <w:color w:val="000000"/>
                <w:sz w:val="21"/>
                <w:szCs w:val="21"/>
              </w:rPr>
              <w:t>养殖效率高、产品品质有保障、减少大量劳动力支出、能使农户获得更大的经济效益</w:t>
            </w:r>
          </w:p>
        </w:tc>
        <w:tc>
          <w:tcPr>
            <w:tcW w:w="33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E2EFDA" w:themeFill="accent6" w:themeFillTint="32"/>
          </w:tcPr>
          <w:p>
            <w:pPr>
              <w:snapToGrid w:val="0"/>
              <w:spacing w:line="240" w:lineRule="auto"/>
              <w:jc w:val="left"/>
              <w:rPr>
                <w:rFonts w:ascii="宋体" w:hAnsi="宋体" w:cs="仿宋"/>
                <w:color w:val="000000"/>
                <w:sz w:val="21"/>
                <w:szCs w:val="21"/>
              </w:rPr>
            </w:pPr>
            <w:r>
              <w:rPr>
                <w:rFonts w:hint="eastAsia" w:ascii="宋体" w:hAnsi="宋体" w:cs="仿宋"/>
                <w:color w:val="000000"/>
                <w:sz w:val="21"/>
                <w:szCs w:val="21"/>
              </w:rPr>
              <w:t>前期投入高、对养殖人员的技术要求高</w:t>
            </w:r>
          </w:p>
        </w:tc>
      </w:tr>
    </w:tbl>
    <w:p>
      <w:pPr>
        <w:jc w:val="center"/>
        <w:rPr>
          <w:rFonts w:ascii="宋体" w:hAnsi="宋体" w:cs="仿宋"/>
          <w:b/>
          <w:bCs/>
          <w:color w:val="000000"/>
          <w:sz w:val="21"/>
          <w:szCs w:val="21"/>
        </w:rPr>
      </w:pPr>
      <w:bookmarkStart w:id="91" w:name="_Toc90339166"/>
      <w:r>
        <w:rPr>
          <w:rFonts w:hint="eastAsia" w:ascii="宋体" w:hAnsi="宋体"/>
          <w:sz w:val="21"/>
          <w:szCs w:val="21"/>
        </w:rPr>
        <w:t xml:space="preserve">表格 </w:t>
      </w:r>
      <w:r>
        <w:rPr>
          <w:rFonts w:ascii="宋体" w:hAnsi="宋体"/>
          <w:sz w:val="21"/>
          <w:szCs w:val="21"/>
        </w:rPr>
        <w:fldChar w:fldCharType="begin"/>
      </w:r>
      <w:r>
        <w:rPr>
          <w:rFonts w:ascii="宋体" w:hAnsi="宋体"/>
          <w:sz w:val="21"/>
          <w:szCs w:val="21"/>
        </w:rPr>
        <w:instrText xml:space="preserve"> </w:instrText>
      </w:r>
      <w:r>
        <w:rPr>
          <w:rFonts w:hint="eastAsia" w:ascii="宋体" w:hAnsi="宋体"/>
          <w:sz w:val="21"/>
          <w:szCs w:val="21"/>
        </w:rPr>
        <w:instrText xml:space="preserve">SEQ 表格 \* ARABIC</w:instrText>
      </w:r>
      <w:r>
        <w:rPr>
          <w:rFonts w:ascii="宋体" w:hAnsi="宋体"/>
          <w:sz w:val="21"/>
          <w:szCs w:val="21"/>
        </w:rPr>
        <w:instrText xml:space="preserve">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hint="eastAsia" w:ascii="宋体" w:hAnsi="宋体" w:cs="仿宋"/>
          <w:color w:val="000000"/>
          <w:sz w:val="21"/>
          <w:szCs w:val="21"/>
        </w:rPr>
        <w:t>传统蚕桑养殖与工厂蚕桑养殖的优劣分析</w:t>
      </w:r>
      <w:bookmarkEnd w:id="91"/>
    </w:p>
    <w:p>
      <w:pPr>
        <w:snapToGrid w:val="0"/>
        <w:rPr>
          <w:rFonts w:hint="eastAsia" w:ascii="仿宋" w:hAnsi="仿宋" w:eastAsia="仿宋" w:cs="仿宋"/>
          <w:color w:val="000000"/>
          <w:shd w:val="clear" w:color="auto" w:fill="FFFFFF"/>
        </w:rPr>
      </w:pPr>
    </w:p>
    <w:p>
      <w:pPr>
        <w:pStyle w:val="3"/>
      </w:pPr>
      <w:bookmarkStart w:id="92" w:name="_Toc90339039"/>
      <w:bookmarkStart w:id="93" w:name="_Toc17412"/>
      <w:bookmarkStart w:id="94" w:name="_Toc14076"/>
      <w:bookmarkStart w:id="95" w:name="_Toc28123"/>
      <w:bookmarkStart w:id="96" w:name="_Toc22115"/>
      <w:r>
        <w:rPr>
          <w:rFonts w:hint="eastAsia"/>
        </w:rPr>
        <w:t>发展前景</w:t>
      </w:r>
      <w:bookmarkEnd w:id="92"/>
      <w:bookmarkEnd w:id="93"/>
      <w:bookmarkEnd w:id="94"/>
      <w:bookmarkEnd w:id="95"/>
      <w:bookmarkEnd w:id="96"/>
    </w:p>
    <w:p>
      <w:pPr>
        <w:pStyle w:val="37"/>
        <w:ind w:firstLine="560"/>
      </w:pPr>
      <w:r>
        <w:rPr>
          <w:rFonts w:hint="eastAsia"/>
        </w:rPr>
        <w:t>在目前文化与社会问题错综复杂的背景下，在低效率的传统人工养殖基础上引入智能化设备新型生产技术，利于提高劳动效率，降低劳动成本，生产效益也可以随之提高。在蚕类养殖中引入智能设备不仅解放了大量生产力，与此同时也利于扩大农户的养殖规模，并最终推动乡村蚕业养殖的发展，拉动乡村经济，响应国家关于乡村振兴的号召。并且我国蚕业养殖智能化仍然有待创新完善，且依靠计算机视觉技术的较少，过度依赖人力。目前市场缺少同类竞品，该行业仍存在大量空白，市场前景巨大。</w:t>
      </w:r>
    </w:p>
    <w:p>
      <w:pPr>
        <w:pStyle w:val="3"/>
      </w:pPr>
      <w:bookmarkStart w:id="97" w:name="_Toc12997"/>
      <w:bookmarkStart w:id="98" w:name="_Toc26465"/>
      <w:bookmarkStart w:id="99" w:name="_Toc19492"/>
      <w:bookmarkStart w:id="100" w:name="_Toc90339040"/>
      <w:bookmarkStart w:id="101" w:name="_Toc8744"/>
      <w:r>
        <w:rPr>
          <w:rFonts w:hint="eastAsia"/>
        </w:rPr>
        <w:t>产品价值分析</w:t>
      </w:r>
      <w:bookmarkEnd w:id="97"/>
      <w:bookmarkEnd w:id="98"/>
      <w:bookmarkEnd w:id="99"/>
      <w:bookmarkEnd w:id="100"/>
      <w:bookmarkEnd w:id="101"/>
    </w:p>
    <w:p>
      <w:pPr>
        <w:pStyle w:val="4"/>
      </w:pPr>
      <w:bookmarkStart w:id="102" w:name="_Toc28569"/>
      <w:bookmarkStart w:id="103" w:name="_Toc634"/>
      <w:bookmarkStart w:id="104" w:name="_Toc22292"/>
      <w:bookmarkStart w:id="105" w:name="_Toc15390"/>
      <w:bookmarkStart w:id="106" w:name="_Toc90339041"/>
      <w:r>
        <w:rPr>
          <w:rFonts w:hint="eastAsia"/>
        </w:rPr>
        <w:t>产业价值</w:t>
      </w:r>
      <w:bookmarkEnd w:id="102"/>
      <w:bookmarkEnd w:id="103"/>
      <w:bookmarkEnd w:id="104"/>
      <w:bookmarkEnd w:id="105"/>
      <w:bookmarkEnd w:id="106"/>
    </w:p>
    <w:p>
      <w:pPr>
        <w:pStyle w:val="37"/>
        <w:numPr>
          <w:ilvl w:val="0"/>
          <w:numId w:val="2"/>
        </w:numPr>
        <w:ind w:firstLineChars="0"/>
      </w:pPr>
      <w:r>
        <w:rPr>
          <w:rFonts w:hint="eastAsia"/>
        </w:rPr>
        <w:t>经济价值</w:t>
      </w:r>
    </w:p>
    <w:p>
      <w:pPr>
        <w:pStyle w:val="37"/>
        <w:ind w:firstLine="560"/>
      </w:pPr>
      <w:r>
        <w:rPr>
          <w:rFonts w:hint="eastAsia"/>
        </w:rPr>
        <w:t>蚕桑产业是浙江、云南、广西、等地重要的民生产业和具有市场竞争力的特色优势产业，更是脱贫致富的支柱产业。桑蚕养殖的最主要的经济产品是蚕丝，蚕丝用于织制各种绸缎和针织品，并用于工业、国防和医药等领域。其农副产品（包括蛹、蛾）以及桑叶的生产能开发出新产业，带动当地经济发展。通过新的经营模式和“一带一路”，发挥蚕桑养殖优势助推乡村振兴，助力脱贫攻坚。</w:t>
      </w:r>
    </w:p>
    <w:p>
      <w:pPr>
        <w:pStyle w:val="37"/>
        <w:ind w:firstLine="560"/>
      </w:pPr>
      <w:r>
        <w:rPr>
          <w:rFonts w:hint="eastAsia"/>
        </w:rPr>
        <w:t>（2）生态价值</w:t>
      </w:r>
    </w:p>
    <w:p>
      <w:pPr>
        <w:pStyle w:val="37"/>
        <w:ind w:firstLine="560"/>
      </w:pPr>
      <w:r>
        <w:rPr>
          <w:rFonts w:hint="eastAsia"/>
        </w:rPr>
        <w:t>桑树在作为饲料的同时，也给生态环境带来巨大的好处。在我国平原地区，森林面积重要的组成就是桑树。根据《环境空气质量标准》，桑林的固碳能力已经接近或者优于林地。另外家蚕对外界的环境十分敏感，因此可以作为一种环境质量知指示的动物。数据证明，家蚕对农药和空气中的氟化物、硫化物等十分敏感，以桑叶主饲料家蚕会出现中毒的症状。正是因为家蚕对环境中的有毒物质的敏感程度，对关闭污染环境的企业有着积极的作用。 </w:t>
      </w:r>
    </w:p>
    <w:p>
      <w:pPr>
        <w:pStyle w:val="37"/>
        <w:ind w:firstLine="560"/>
      </w:pPr>
      <w:r>
        <w:rPr>
          <w:rFonts w:hint="eastAsia"/>
        </w:rPr>
        <w:t>（3）人文价值</w:t>
      </w:r>
    </w:p>
    <w:p>
      <w:pPr>
        <w:pStyle w:val="37"/>
        <w:ind w:firstLine="560"/>
      </w:pPr>
      <w:r>
        <w:rPr>
          <w:rFonts w:hint="eastAsia"/>
        </w:rPr>
        <w:t>生态旅游的发展促进农村经济的增长，形成旅游业与农业和谐发展的局面，推动社会主义新农村的建设。蚕桑业在“东桑西移”工程实施过程中，极大地优化与调整了其产业结构，产品出口也带动了丝绸文化的发展。在开发蚕桑旅游业过程中，将蚕文化与生态旅游结合，既能丰富生态旅游的文化内涵，也能为蚕文化传播 提供新的途径。</w:t>
      </w:r>
    </w:p>
    <w:p>
      <w:pPr>
        <w:pStyle w:val="4"/>
      </w:pPr>
      <w:bookmarkStart w:id="107" w:name="_Toc3939"/>
      <w:bookmarkStart w:id="108" w:name="_Toc90339042"/>
      <w:r>
        <w:rPr>
          <w:rFonts w:hint="eastAsia"/>
        </w:rPr>
        <w:t>价值发展趋势</w:t>
      </w:r>
      <w:bookmarkEnd w:id="107"/>
      <w:bookmarkEnd w:id="108"/>
    </w:p>
    <w:p>
      <w:pPr>
        <w:pStyle w:val="37"/>
        <w:ind w:firstLine="560"/>
      </w:pPr>
      <w:r>
        <w:rPr>
          <w:rFonts w:hint="eastAsia"/>
        </w:rPr>
        <w:t>在大趋势背景下产业价值带动产品价值的飞速发展。近年来在“一带一路”背景下，以临安市为例，其城市加快农业产业结构调整,积极发展效益农业,全市形成了"东竹西果、南桑北菜"的区域化、规模化产业发展新格局,蚕桑产业已成为天目溪、昌化溪流域蚕桑主产区乡镇的农业主导产业。全市初步形成了从蚕种生产到丝绸产品加工贸易的全程生产体系,蚕桑业发展具备了比较完整的生产服务体系。工业化发展促进丝绸制作机械化，流水线工厂遍地开花，再加工产业发展如火如荼。与此同时，在区域化规模化大力发展的同时传统养殖的弊端逐步显现，供不应求逐渐成为产业常态。产品质量差、生产成本高一直困扰着行业发展。</w:t>
      </w:r>
    </w:p>
    <w:p>
      <w:pPr>
        <w:pStyle w:val="37"/>
        <w:ind w:firstLine="560"/>
        <w:rPr>
          <w:rFonts w:hint="eastAsia" w:eastAsia="仿宋"/>
          <w:lang w:val="en-US" w:eastAsia="zh-CN"/>
        </w:rPr>
        <w:sectPr>
          <w:pgSz w:w="11906" w:h="16838"/>
          <w:pgMar w:top="1440" w:right="1800" w:bottom="1440" w:left="1800" w:header="851" w:footer="992" w:gutter="0"/>
          <w:cols w:space="425" w:num="1"/>
          <w:docGrid w:type="lines" w:linePitch="312" w:charSpace="0"/>
        </w:sectPr>
      </w:pPr>
      <w:r>
        <w:rPr>
          <w:rFonts w:hint="eastAsia"/>
        </w:rPr>
        <w:t>桑蚕养殖自动化机械的问世一方面提高了桑蚕养殖效率，提高产丝质量；另一方面节省人力，降低生产成本，促进桑蚕产业内部结构再优化，将产品价值最大化进一步促进产业发</w:t>
      </w:r>
      <w:r>
        <w:rPr>
          <w:rFonts w:hint="eastAsia"/>
          <w:lang w:val="en-US" w:eastAsia="zh-CN"/>
        </w:rPr>
        <w:t>展。</w:t>
      </w:r>
    </w:p>
    <w:p>
      <w:pPr>
        <w:pStyle w:val="2"/>
        <w:rPr>
          <w:rFonts w:ascii="黑体" w:hAnsi="黑体" w:eastAsia="黑体"/>
          <w:sz w:val="32"/>
          <w:szCs w:val="32"/>
        </w:rPr>
      </w:pPr>
      <w:bookmarkStart w:id="109" w:name="_Toc20974"/>
      <w:bookmarkStart w:id="110" w:name="_Toc24676"/>
      <w:bookmarkStart w:id="111" w:name="_Toc19624"/>
      <w:bookmarkStart w:id="112" w:name="_Toc90339043"/>
      <w:r>
        <w:rPr>
          <w:rFonts w:hint="eastAsia" w:ascii="黑体" w:hAnsi="黑体" w:eastAsia="黑体"/>
          <w:sz w:val="32"/>
          <w:szCs w:val="32"/>
        </w:rPr>
        <w:t>技术与功能</w:t>
      </w:r>
      <w:bookmarkEnd w:id="109"/>
      <w:bookmarkEnd w:id="110"/>
      <w:bookmarkEnd w:id="111"/>
      <w:bookmarkEnd w:id="112"/>
    </w:p>
    <w:p>
      <w:pPr>
        <w:pStyle w:val="3"/>
      </w:pPr>
      <w:bookmarkStart w:id="113" w:name="_Toc30292"/>
      <w:bookmarkStart w:id="114" w:name="_Toc90339044"/>
      <w:bookmarkStart w:id="115" w:name="_Toc13175"/>
      <w:bookmarkStart w:id="116" w:name="_Toc3496"/>
      <w:bookmarkStart w:id="117" w:name="_Toc10611"/>
      <w:bookmarkStart w:id="118" w:name="_Toc8237"/>
      <w:r>
        <w:rPr>
          <w:rFonts w:hint="eastAsia"/>
        </w:rPr>
        <w:t>产品开发的主要流程</w:t>
      </w:r>
      <w:bookmarkEnd w:id="113"/>
      <w:bookmarkEnd w:id="114"/>
      <w:bookmarkEnd w:id="115"/>
    </w:p>
    <w:p>
      <w:pPr>
        <w:pStyle w:val="37"/>
        <w:numPr>
          <w:ilvl w:val="0"/>
          <w:numId w:val="3"/>
        </w:numPr>
        <w:ind w:firstLineChars="0"/>
      </w:pPr>
      <w:r>
        <w:rPr>
          <w:rFonts w:hint="eastAsia"/>
        </w:rPr>
        <w:t>市场调研和蚕养殖知识的初步了解，相关技术文献、论文的阅读，确定初步要构建的网络。</w:t>
      </w:r>
    </w:p>
    <w:p>
      <w:pPr>
        <w:pStyle w:val="37"/>
        <w:numPr>
          <w:ilvl w:val="0"/>
          <w:numId w:val="3"/>
        </w:numPr>
        <w:ind w:firstLineChars="0"/>
      </w:pPr>
      <w:r>
        <w:rPr>
          <w:rFonts w:hint="eastAsia"/>
        </w:rPr>
        <w:t>根据网络确定需要购买的所需算力的开发板</w:t>
      </w:r>
    </w:p>
    <w:p>
      <w:pPr>
        <w:pStyle w:val="37"/>
        <w:numPr>
          <w:ilvl w:val="0"/>
          <w:numId w:val="3"/>
        </w:numPr>
        <w:ind w:firstLineChars="0"/>
      </w:pPr>
      <w:r>
        <w:rPr>
          <w:rFonts w:hint="eastAsia"/>
        </w:rPr>
        <w:t>收集数据集</w:t>
      </w:r>
    </w:p>
    <w:p>
      <w:pPr>
        <w:pStyle w:val="37"/>
        <w:numPr>
          <w:ilvl w:val="0"/>
          <w:numId w:val="3"/>
        </w:numPr>
        <w:ind w:firstLineChars="0"/>
      </w:pPr>
      <w:r>
        <w:rPr>
          <w:rFonts w:hint="eastAsia"/>
        </w:rPr>
        <w:t>对网络经行初步的训练，并配置到硬件中去</w:t>
      </w:r>
    </w:p>
    <w:p>
      <w:pPr>
        <w:pStyle w:val="37"/>
        <w:numPr>
          <w:ilvl w:val="0"/>
          <w:numId w:val="3"/>
        </w:numPr>
        <w:ind w:firstLineChars="0"/>
      </w:pPr>
      <w:r>
        <w:rPr>
          <w:rFonts w:hint="eastAsia"/>
        </w:rPr>
        <w:t>根据真实的检测场景评估网络的优劣</w:t>
      </w:r>
    </w:p>
    <w:p>
      <w:pPr>
        <w:pStyle w:val="37"/>
        <w:numPr>
          <w:ilvl w:val="0"/>
          <w:numId w:val="3"/>
        </w:numPr>
        <w:ind w:firstLineChars="0"/>
      </w:pPr>
      <w:bookmarkStart w:id="119" w:name="_Toc27327"/>
      <w:r>
        <w:rPr>
          <w:rFonts w:hint="eastAsia"/>
        </w:rPr>
        <w:t>对网络进一步进行训练</w:t>
      </w:r>
    </w:p>
    <w:p>
      <w:pPr>
        <w:pStyle w:val="3"/>
      </w:pPr>
      <w:bookmarkStart w:id="120" w:name="_Toc31170"/>
      <w:bookmarkStart w:id="121" w:name="_Toc90339045"/>
      <w:r>
        <w:rPr>
          <w:rFonts w:hint="eastAsia"/>
        </w:rPr>
        <w:t>数据集</w:t>
      </w:r>
      <w:bookmarkEnd w:id="119"/>
      <w:bookmarkEnd w:id="120"/>
      <w:bookmarkEnd w:id="121"/>
    </w:p>
    <w:p>
      <w:pPr>
        <w:pStyle w:val="37"/>
        <w:ind w:firstLine="560"/>
      </w:pPr>
      <w:r>
        <w:rPr>
          <w:rFonts w:hint="eastAsia"/>
          <w:bCs w:val="0"/>
        </w:rPr>
        <w:t>本项目通过调研，发现包括CIFAR10、ImageNet、LSUN在内的主流数据集并未将蚕等农业产品以及其病虫害标注在内，这是目前农业类深度学习所面临的</w:t>
      </w:r>
      <w:r>
        <w:rPr>
          <w:rFonts w:hint="eastAsia"/>
        </w:rPr>
        <w:t>重要难点。对此，本项目组通过网络、自主实践、实地考察等方式，对蚕的不同生长状态进行考察，利用数据精灵标注助手，对蚕、蟑螂、老鼠的位置（x0,y0,a,b）进行标注。</w:t>
      </w:r>
    </w:p>
    <w:p>
      <w:pPr>
        <w:pStyle w:val="37"/>
        <w:ind w:firstLine="560"/>
      </w:pPr>
      <w:r>
        <w:rPr>
          <w:rFonts w:hint="eastAsia"/>
        </w:rPr>
        <w:t>再将所有数据进行整合为“图片路径+标签+选框坐标+选框大小”并转化为CSV格式，最后送入网络训练。</w:t>
      </w:r>
    </w:p>
    <w:p>
      <w:pPr>
        <w:pStyle w:val="37"/>
        <w:ind w:firstLine="0" w:firstLineChars="0"/>
      </w:pPr>
    </w:p>
    <w:p>
      <w:pPr>
        <w:jc w:val="center"/>
        <w:rPr>
          <w:rFonts w:hint="eastAsia" w:ascii="Times New Roman" w:hAnsi="Times New Roman" w:eastAsia="仿宋" w:cs="仿宋"/>
          <w:color w:val="000000"/>
        </w:rPr>
      </w:pPr>
      <w:bookmarkStart w:id="122" w:name="_Toc90339148"/>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4</w:t>
      </w:r>
      <w:r>
        <w:fldChar w:fldCharType="end"/>
      </w:r>
      <w:r>
        <w:rPr>
          <w:rFonts w:hint="eastAsia" w:ascii="Times New Roman" w:hAnsi="Times New Roman" w:eastAsia="仿宋" w:cs="仿宋"/>
          <w:bCs/>
          <w:color w:val="000000"/>
          <w:sz w:val="28"/>
          <w:shd w:val="clear" w:color="auto" w:fill="FFFFFF"/>
        </w:rPr>
        <w:drawing>
          <wp:anchor distT="0" distB="0" distL="114300" distR="114300" simplePos="0" relativeHeight="251659264" behindDoc="0" locked="0" layoutInCell="1" allowOverlap="1">
            <wp:simplePos x="0" y="0"/>
            <wp:positionH relativeFrom="margin">
              <wp:posOffset>1022350</wp:posOffset>
            </wp:positionH>
            <wp:positionV relativeFrom="page">
              <wp:posOffset>7277100</wp:posOffset>
            </wp:positionV>
            <wp:extent cx="2854325" cy="1605280"/>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54325" cy="1605280"/>
                    </a:xfrm>
                    <a:prstGeom prst="rect">
                      <a:avLst/>
                    </a:prstGeom>
                    <a:noFill/>
                    <a:ln>
                      <a:noFill/>
                    </a:ln>
                  </pic:spPr>
                </pic:pic>
              </a:graphicData>
            </a:graphic>
          </wp:anchor>
        </w:drawing>
      </w:r>
      <w:bookmarkEnd w:id="122"/>
    </w:p>
    <w:p>
      <w:pPr>
        <w:ind w:firstLine="420"/>
        <w:jc w:val="center"/>
        <w:rPr>
          <w:rFonts w:ascii="仿宋" w:hAnsi="仿宋" w:eastAsia="仿宋" w:cs="仿宋"/>
          <w:color w:val="000000" w:themeColor="text1"/>
          <w14:textFill>
            <w14:solidFill>
              <w14:schemeClr w14:val="tx1"/>
            </w14:solidFill>
          </w14:textFill>
        </w:rPr>
      </w:pPr>
      <w:r>
        <w:rPr>
          <w:rFonts w:hint="eastAsia" w:ascii="仿宋" w:hAnsi="仿宋" w:eastAsia="仿宋" w:cs="仿宋"/>
        </w:rPr>
        <w:drawing>
          <wp:anchor distT="0" distB="0" distL="114300" distR="114300" simplePos="0" relativeHeight="251663360" behindDoc="0" locked="0" layoutInCell="1" allowOverlap="1">
            <wp:simplePos x="0" y="0"/>
            <wp:positionH relativeFrom="page">
              <wp:posOffset>2209800</wp:posOffset>
            </wp:positionH>
            <wp:positionV relativeFrom="page">
              <wp:posOffset>1225550</wp:posOffset>
            </wp:positionV>
            <wp:extent cx="3093720" cy="2125345"/>
            <wp:effectExtent l="0" t="0" r="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extLst>
                        <a:ext uri="{28A0092B-C50C-407E-A947-70E740481C1C}">
                          <a14:useLocalDpi xmlns:a14="http://schemas.microsoft.com/office/drawing/2010/main" val="0"/>
                        </a:ext>
                      </a:extLst>
                    </a:blip>
                    <a:srcRect l="9509" t="15060" r="16951" b="12416"/>
                    <a:stretch>
                      <a:fillRect/>
                    </a:stretch>
                  </pic:blipFill>
                  <pic:spPr>
                    <a:xfrm>
                      <a:off x="0" y="0"/>
                      <a:ext cx="3093720" cy="2125345"/>
                    </a:xfrm>
                    <a:prstGeom prst="rect">
                      <a:avLst/>
                    </a:prstGeom>
                  </pic:spPr>
                </pic:pic>
              </a:graphicData>
            </a:graphic>
          </wp:anchor>
        </w:drawing>
      </w:r>
    </w:p>
    <w:p>
      <w:pPr>
        <w:jc w:val="center"/>
      </w:pPr>
      <w:bookmarkStart w:id="123" w:name="_Toc90339149"/>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5</w:t>
      </w:r>
      <w:bookmarkEnd w:id="123"/>
      <w:r>
        <w:fldChar w:fldCharType="end"/>
      </w:r>
    </w:p>
    <w:p>
      <w:pPr>
        <w:rPr>
          <w:rFonts w:hint="eastAsia"/>
        </w:rPr>
      </w:pPr>
    </w:p>
    <w:p>
      <w:pPr>
        <w:pStyle w:val="37"/>
        <w:ind w:firstLine="560"/>
        <w:rPr>
          <w:rFonts w:hint="eastAsia"/>
        </w:rPr>
      </w:pPr>
      <w:r>
        <w:rPr>
          <w:rFonts w:hint="eastAsia"/>
        </w:rPr>
        <w:t>在对病虫害数据的标注过程中，本项目发现蚕与老鼠、蟑螂、等有害物害存于同一照片的数据数量较少，因此我们通过数据加强中的“图片组合的方法”，将害虫等物体进行组合，提高数据集的准确性。</w:t>
      </w:r>
    </w:p>
    <w:p>
      <w:pPr>
        <w:pStyle w:val="37"/>
        <w:ind w:firstLine="560"/>
      </w:pPr>
      <w:r>
        <w:rPr>
          <w:rFonts w:hint="eastAsia"/>
        </w:rPr>
        <w:t>（需要补充：最好有企业或者专业机构提供的数据集，或者认可）</w:t>
      </w:r>
    </w:p>
    <w:p>
      <w:pPr>
        <w:pStyle w:val="3"/>
      </w:pPr>
      <w:bookmarkStart w:id="124" w:name="_Toc90339046"/>
      <w:bookmarkStart w:id="125" w:name="_Toc16264"/>
      <w:bookmarkStart w:id="126" w:name="_Toc24305"/>
      <w:r>
        <w:rPr>
          <w:rFonts w:hint="eastAsia"/>
        </w:rPr>
        <w:t>技术实现与创新</w:t>
      </w:r>
      <w:bookmarkEnd w:id="124"/>
      <w:bookmarkEnd w:id="125"/>
    </w:p>
    <w:p>
      <w:pPr>
        <w:pStyle w:val="4"/>
      </w:pPr>
      <w:bookmarkStart w:id="127" w:name="_Toc90339047"/>
      <w:bookmarkStart w:id="128" w:name="_Toc22580"/>
      <w:r>
        <w:rPr>
          <w:rFonts w:hint="eastAsia"/>
        </w:rPr>
        <w:t>神经网络创新</w:t>
      </w:r>
      <w:bookmarkEnd w:id="127"/>
      <w:bookmarkEnd w:id="128"/>
    </w:p>
    <w:p>
      <w:pPr>
        <w:pStyle w:val="37"/>
        <w:ind w:firstLine="560"/>
      </w:pPr>
      <w:r>
        <w:rPr>
          <w:rFonts w:hint="eastAsia"/>
        </w:rPr>
        <w:t>整体网络可以分割为四个部分，输入端，骨干网络，瓶颈网络部分，预测端。我们针对养蚕的具体应用场景给网络做出优化。</w:t>
      </w:r>
    </w:p>
    <w:p>
      <w:pPr>
        <w:pStyle w:val="37"/>
        <w:ind w:firstLine="560"/>
      </w:pPr>
      <w:r>
        <w:rPr>
          <w:rFonts w:hint="eastAsia"/>
        </w:rPr>
        <w:t>（1）在网络预测部分，因为此网络是对视频流中的小目标进行检测，而在当下CNN的较大步长深层特征提取和池化的作用下，小目标的特征信息极易容易丢失，所以我们利用视频流的时间特性，使用背景减法，通过先前的帧构建出背景图像，然后用当前帧图像和背景图像做差,得到差分图像。通过计算差分图像的时空熵,网络提供时间跨度上的信息，帮助网咯更有效地检测出目标。</w:t>
      </w:r>
    </w:p>
    <w:p>
      <w:pPr>
        <w:pStyle w:val="37"/>
        <w:ind w:firstLine="560"/>
      </w:pPr>
      <w:r>
        <w:rPr>
          <w:rFonts w:hint="eastAsia"/>
        </w:rPr>
        <w:t>（2）同样在网络预测部分，针对小目标检测的特点，以及蚕图像分布具有密集，和平均分布的特点，我们将大分辨率的（1080p）图像分割成小块，并对每个小块都进行检测算法。</w:t>
      </w:r>
    </w:p>
    <w:p>
      <w:pPr>
        <w:pStyle w:val="37"/>
        <w:ind w:firstLine="560"/>
      </w:pPr>
      <w:r>
        <w:rPr>
          <w:rFonts w:hint="eastAsia"/>
        </w:rPr>
        <w:t>（3）在网络推理阶段，通常为了避免prediction boxes的重合会使用非极大值抑制的方法筛选候选框，最简单的做法是将bounding box的Confidence排序后依次从C最大的box与其他计算IOU，设置一个固定的阈值，IOU超过阈值的bbox则被删除，将所有bbox遍历一次后得到最终的结果；这样的做法对有些模型来说会降低Recall，直接把prediction丢掉回损失一部分信息，因此为了改进这个情况提出了Soft-NMS，即不直接删除掉IOU过高的候选框，而是降低IOU过高的框的C，再进行计算，如果置信度过低再将之剔除。这样的作法可以有效避免因为两个物体重合而导致无法将目标都识别出来，特别是在桑蚕的图片中，蚕和蚕之间相距较近，整体蚕群相对密集，并且存在蚕和蚕重叠的情况。</w:t>
      </w:r>
    </w:p>
    <w:p>
      <w:pPr>
        <w:pStyle w:val="37"/>
        <w:ind w:firstLine="560"/>
      </w:pPr>
      <w:r>
        <w:rPr>
          <w:rFonts w:hint="eastAsia"/>
        </w:rPr>
        <w:t>（4）在骨干网络部分，由于考虑到农户安装配置硬件会放在远近不同的地方，这也就意味着在摄像头提取到相同的分辨率的视频中所包含的信息是不等的。于是我们采用Inception 模型中的结构，在骨干网络中对相同的图片进行不同大小的卷积，卷积核通常为33，55，77。但是这种做法会明显增加网络的运算量，在后期改进中，我们将会使用多个33卷积核去替换55和77卷积核。</w:t>
      </w:r>
    </w:p>
    <w:p>
      <w:pPr>
        <w:pStyle w:val="37"/>
        <w:ind w:firstLine="560"/>
      </w:pPr>
      <w:r>
        <w:rPr>
          <w:rFonts w:hint="eastAsia"/>
        </w:rPr>
        <w:t>（5）在网络的瓶颈部分加入注意力机制，我们计划采用新的卷积、自注意力融合机制“AC_attention”。在第一阶段，通过3个1×1卷积对输入特征进行投影，然后reshape为N个Pieces。因此，获得了包含3×N特征映射的一组丰富的中间特征。</w:t>
      </w:r>
    </w:p>
    <w:p>
      <w:pPr>
        <w:pStyle w:val="37"/>
        <w:ind w:firstLine="560"/>
      </w:pPr>
      <w:r>
        <w:rPr>
          <w:rFonts w:hint="eastAsia"/>
        </w:rPr>
        <w:t>在第一阶段，通过3个1×1卷积对输入特征进行投影，然后reshape为N个Pieces。因此，获得了包含3×N特征映射的一组丰富的中间特征。</w:t>
      </w:r>
    </w:p>
    <w:p>
      <w:pPr>
        <w:pStyle w:val="37"/>
        <w:ind w:firstLine="560"/>
      </w:pPr>
      <w:r>
        <w:rPr>
          <w:rFonts w:hint="eastAsia"/>
        </w:rPr>
        <w:t>在第二阶段：它们遵循不同的范例。对于自注意力路径，将中间特征集合到N组中，每组包含3个特征，每个特征来自1×1卷积。对应的三个特征图分别作为query、key和value，遵循传统的多头自注意力模块。对于kernel size为k的卷积路径，采用轻型全连接层，生成个特征映射，通过对生成的特征进行移位和聚合，对输入特征进行卷积处理，并像传统的一样从局部感受野收集信息。</w:t>
      </w:r>
    </w:p>
    <w:p>
      <w:pPr>
        <w:pStyle w:val="37"/>
        <w:ind w:firstLine="560"/>
      </w:pPr>
      <w:r>
        <w:rPr>
          <w:rFonts w:hint="eastAsia"/>
        </w:rPr>
        <w:t>其结果含有两个</w:t>
      </w:r>
      <w:r>
        <w:rPr>
          <w:rFonts w:hint="eastAsia"/>
          <w:shd w:val="clear" w:color="auto" w:fill="auto"/>
        </w:rPr>
        <w:t>超参数比重</w:t>
      </w:r>
      <w:r>
        <w:rPr>
          <w:rFonts w:hint="eastAsia"/>
        </w:rPr>
        <w:t>，分别代表卷积比重和自注意力比重，通过调整两个参数是网络适应不同的需求，可以表达为：</w:t>
      </w:r>
    </w:p>
    <w:p>
      <w:pPr>
        <w:pStyle w:val="37"/>
        <w:ind w:firstLine="560"/>
      </w:pPr>
      <m:oMathPara>
        <m:oMath>
          <m:sSub>
            <m:sSubPr>
              <m:ctrlPr>
                <w:rPr>
                  <w:rFonts w:hint="eastAsia" w:ascii="Cambria Math" w:hAnsi="Cambria Math"/>
                </w:rPr>
              </m:ctrlPr>
            </m:sSubPr>
            <m:e>
              <m:r>
                <m:rPr>
                  <m:sty m:val="p"/>
                </m:rPr>
                <w:rPr>
                  <w:rFonts w:hint="eastAsia" w:ascii="Cambria Math" w:hAnsi="Cambria Math"/>
                </w:rPr>
                <m:t>F</m:t>
              </m:r>
              <m:ctrlPr>
                <w:rPr>
                  <w:rFonts w:hint="eastAsia" w:ascii="Cambria Math" w:hAnsi="Cambria Math"/>
                </w:rPr>
              </m:ctrlPr>
            </m:e>
            <m:sub>
              <m:r>
                <m:rPr>
                  <m:sty m:val="p"/>
                </m:rPr>
                <w:rPr>
                  <w:rFonts w:hint="eastAsia" w:ascii="Cambria Math" w:hAnsi="Cambria Math"/>
                </w:rPr>
                <m:t>out</m:t>
              </m:r>
              <m:ctrlPr>
                <w:rPr>
                  <w:rFonts w:hint="eastAsia" w:ascii="Cambria Math" w:hAnsi="Cambria Math"/>
                </w:rPr>
              </m:ctrlPr>
            </m:sub>
          </m:sSub>
          <m:r>
            <m:rPr>
              <m:sty m:val="p"/>
            </m:rPr>
            <w:rPr>
              <w:rFonts w:hint="eastAsia" w:ascii="Cambria Math" w:hAnsi="Cambria Math"/>
            </w:rPr>
            <m:t>=α</m:t>
          </m:r>
          <m:sSub>
            <m:sSubPr>
              <m:ctrlPr>
                <w:rPr>
                  <w:rFonts w:hint="eastAsia" w:ascii="Cambria Math" w:hAnsi="Cambria Math"/>
                </w:rPr>
              </m:ctrlPr>
            </m:sSubPr>
            <m:e>
              <m:r>
                <m:rPr>
                  <m:sty m:val="p"/>
                </m:rPr>
                <w:rPr>
                  <w:rFonts w:hint="eastAsia" w:ascii="Cambria Math" w:hAnsi="Cambria Math"/>
                </w:rPr>
                <m:t>F</m:t>
              </m:r>
              <m:ctrlPr>
                <w:rPr>
                  <w:rFonts w:hint="eastAsia" w:ascii="Cambria Math" w:hAnsi="Cambria Math"/>
                </w:rPr>
              </m:ctrlPr>
            </m:e>
            <m:sub>
              <m:r>
                <m:rPr>
                  <m:sty m:val="p"/>
                </m:rPr>
                <w:rPr>
                  <w:rFonts w:hint="eastAsia" w:ascii="Cambria Math" w:hAnsi="Cambria Math"/>
                </w:rPr>
                <m:t>att</m:t>
              </m:r>
              <m:ctrlPr>
                <w:rPr>
                  <w:rFonts w:hint="eastAsia" w:ascii="Cambria Math" w:hAnsi="Cambria Math"/>
                </w:rPr>
              </m:ctrlPr>
            </m:sub>
          </m:sSub>
          <m:r>
            <m:rPr>
              <m:sty m:val="p"/>
            </m:rPr>
            <w:rPr>
              <w:rFonts w:hint="eastAsia" w:ascii="Cambria Math" w:hAnsi="Cambria Math"/>
            </w:rPr>
            <m:t>+β</m:t>
          </m:r>
          <m:sSub>
            <m:sSubPr>
              <m:ctrlPr>
                <w:rPr>
                  <w:rFonts w:hint="eastAsia" w:ascii="Cambria Math" w:hAnsi="Cambria Math"/>
                </w:rPr>
              </m:ctrlPr>
            </m:sSubPr>
            <m:e>
              <m:r>
                <m:rPr>
                  <m:sty m:val="p"/>
                </m:rPr>
                <w:rPr>
                  <w:rFonts w:hint="eastAsia" w:ascii="Cambria Math" w:hAnsi="Cambria Math"/>
                </w:rPr>
                <m:t>F</m:t>
              </m:r>
              <m:ctrlPr>
                <w:rPr>
                  <w:rFonts w:hint="eastAsia" w:ascii="Cambria Math" w:hAnsi="Cambria Math"/>
                </w:rPr>
              </m:ctrlPr>
            </m:e>
            <m:sub>
              <m:r>
                <m:rPr>
                  <m:sty m:val="p"/>
                </m:rPr>
                <w:rPr>
                  <w:rFonts w:hint="eastAsia" w:ascii="Cambria Math" w:hAnsi="Cambria Math"/>
                </w:rPr>
                <m:t>conv</m:t>
              </m:r>
              <m:ctrlPr>
                <w:rPr>
                  <w:rFonts w:hint="eastAsia" w:ascii="Cambria Math" w:hAnsi="Cambria Math"/>
                </w:rPr>
              </m:ctrlPr>
            </m:sub>
          </m:sSub>
        </m:oMath>
      </m:oMathPara>
    </w:p>
    <w:p>
      <w:pPr>
        <w:pStyle w:val="37"/>
        <w:ind w:firstLine="560"/>
        <w:rPr>
          <w:rFonts w:hint="eastAsia"/>
        </w:rPr>
      </w:pPr>
      <w:r>
        <w:rPr>
          <w:rFonts w:hint="eastAsia"/>
        </w:rPr>
        <w:t>使用AC_attention的网络对比未使用其的网络，具有更小的计算量和更高的精度，适合在嵌入式环境中部署。</w:t>
      </w:r>
    </w:p>
    <w:p>
      <w:pPr>
        <w:pStyle w:val="4"/>
      </w:pPr>
      <w:bookmarkStart w:id="129" w:name="_Toc423"/>
      <w:bookmarkStart w:id="130" w:name="_Toc90339048"/>
      <w:r>
        <w:rPr>
          <w:rFonts w:hint="eastAsia"/>
        </w:rPr>
        <w:t>嵌入式设备部署实现</w:t>
      </w:r>
      <w:bookmarkEnd w:id="129"/>
      <w:bookmarkEnd w:id="130"/>
    </w:p>
    <w:p>
      <w:pPr>
        <w:pStyle w:val="37"/>
        <w:ind w:firstLine="560"/>
      </w:pPr>
      <w:r>
        <w:rPr>
          <w:rFonts w:hint="eastAsia"/>
        </w:rPr>
        <w:t>我们将使用 NVIDIA TensorRT 将神经网络有效地部署到嵌入式 Jetson 平台上，通过图形优化、内核融合和 FP16/INT8 精度提高性能和电源效率。</w:t>
      </w:r>
    </w:p>
    <w:p>
      <w:pPr>
        <w:pStyle w:val="37"/>
        <w:ind w:firstLine="560"/>
      </w:pPr>
      <w:r>
        <w:rPr>
          <w:rFonts w:hint="eastAsia"/>
        </w:rPr>
        <w:t>（1）Gstreamer编解码加速</w:t>
      </w:r>
    </w:p>
    <w:p>
      <w:pPr>
        <w:pStyle w:val="37"/>
        <w:ind w:firstLine="560"/>
      </w:pPr>
      <w:r>
        <w:rPr>
          <w:rFonts w:hint="eastAsia"/>
        </w:rPr>
        <w:t>嵌入式平台在执行检测任务时，获得的原始图像数据是视频流，但是模型检测时需要图片数据，因此需要视频编解码方法将输入视频解码转换为图片数据格式。 Jetson Nano平台可以连接使用高分辨率的摄像头。采集到的视频流需要进一步操作。我们将使用Gstreamer组件对输入的视频流进行编解码以及输出等操作，以降低视频流编解码耗时，减少行人检测的任务延时。</w:t>
      </w:r>
    </w:p>
    <w:p>
      <w:pPr>
        <w:pStyle w:val="37"/>
        <w:ind w:firstLine="560"/>
      </w:pPr>
      <w:r>
        <w:rPr>
          <w:rFonts w:hint="eastAsia"/>
        </w:rPr>
        <w:t>（2）TensorRT模型加速</w:t>
      </w:r>
    </w:p>
    <w:p>
      <w:pPr>
        <w:pStyle w:val="37"/>
        <w:ind w:firstLine="560"/>
      </w:pPr>
      <w:r>
        <w:rPr>
          <w:rFonts w:hint="eastAsia"/>
        </w:rPr>
        <w:t>TensorRT是NVIDIA公司推出的GIE（GPU Inference Engine）C++库，其主要目的是要提高深度神经网络在其公司硬件产品上的推理速度，主要方式是通过更低精度的运算、神经网络计算结构的调整优化等。</w:t>
      </w:r>
    </w:p>
    <w:p>
      <w:pPr>
        <w:pStyle w:val="37"/>
        <w:ind w:firstLine="560"/>
      </w:pPr>
      <w:r>
        <w:rPr>
          <w:rFonts w:hint="eastAsia"/>
        </w:rPr>
        <w:t>深度学习模型的训练包括两个阶段：前向推理并计算损失函数、后向梯度传播和参数更新。为了获得更准确的网络参数，模型的训练阶段参数精度要求较高，深度神经网络的参数需要使用</w:t>
      </w:r>
      <w:r>
        <w:fldChar w:fldCharType="begin"/>
      </w:r>
      <w:r>
        <w:instrText xml:space="preserve"> HYPERLINK "https://www.zhihu.com/search?q=32%E4%BD%8D%E6%B5%AE%E7%82%B9&amp;search_source=Entity&amp;hybrid_search_source=Entity&amp;hybrid_search_extra=%7b" \t "https://zhuanlan.zhihu.com/p/_blank" </w:instrText>
      </w:r>
      <w:r>
        <w:fldChar w:fldCharType="separate"/>
      </w:r>
      <w:r>
        <w:rPr>
          <w:rFonts w:hint="eastAsia"/>
        </w:rPr>
        <w:t>32位浮点</w:t>
      </w:r>
      <w:r>
        <w:rPr>
          <w:rFonts w:hint="eastAsia"/>
        </w:rPr>
        <w:fldChar w:fldCharType="end"/>
      </w:r>
      <w:r>
        <w:rPr>
          <w:rFonts w:hint="eastAsia"/>
        </w:rPr>
        <w:t>（Floating-point，FP32）计算并存储。模型训练完成后，只需要前向的推理步骤即可完成相关任务。在模型推理阶段，我们可以适当降低了模型参数的精度，加快模型推理的速度，而对模型推理结果不造成过大的影响。</w:t>
      </w:r>
    </w:p>
    <w:p>
      <w:pPr>
        <w:pStyle w:val="3"/>
      </w:pPr>
      <w:bookmarkStart w:id="131" w:name="_Toc90339049"/>
      <w:bookmarkStart w:id="132" w:name="_Toc22170"/>
      <w:r>
        <w:rPr>
          <w:rFonts w:hint="eastAsia"/>
        </w:rPr>
        <w:t>作品特色</w:t>
      </w:r>
      <w:bookmarkEnd w:id="126"/>
      <w:bookmarkEnd w:id="131"/>
      <w:bookmarkEnd w:id="132"/>
    </w:p>
    <w:p>
      <w:pPr>
        <w:pStyle w:val="4"/>
      </w:pPr>
      <w:bookmarkStart w:id="133" w:name="_Toc8401"/>
      <w:bookmarkStart w:id="134" w:name="_Toc90339050"/>
      <w:r>
        <w:rPr>
          <w:rFonts w:hint="eastAsia"/>
        </w:rPr>
        <w:t>农业养殖技术与信息技术相结合</w:t>
      </w:r>
      <w:bookmarkEnd w:id="133"/>
      <w:bookmarkEnd w:id="134"/>
    </w:p>
    <w:p>
      <w:pPr>
        <w:pStyle w:val="37"/>
        <w:ind w:firstLine="560"/>
        <w:rPr>
          <w:rFonts w:hint="eastAsia"/>
        </w:rPr>
      </w:pPr>
      <w:r>
        <w:rPr>
          <w:rFonts w:hint="eastAsia"/>
        </w:rPr>
        <w:t>在信息化时代的发展中，通过信息化的管理模式推进农业经济信息的全面建设，有利于农产品实现产业化经营、有利于农业转型、有利于提高农民的收入。在本项目中，本项目不仅计划完成系统来对蚕不同形态的识别，还要实现从形态到不同生长状态以及阶段的过渡，最后根据识别结果对蚕的养殖环境进行改变，三种功能高度集成在以jetson nano为核心的系统上。同时蚕的养殖需要将温度和湿度分别维持在24摄氏度左右和40%左右，且蚕不同阶段所需的温度和湿度、喂食桑叶的大小和时间不同，而本系统以桑蚕养殖技术理论为依据对不同的识别结果给出不同的温度、湿度、饲料等条件的环境适配方案，以达到养殖效益最大化的结果。除运行深度学习模型之外，Jetson Nano 还是性能良好的嵌入式开发平台。除了上述方案，养蚕的环境条件控制可以灵活多变，可以根据用户的需求进行调整，甚至可以实现用户自定义。</w:t>
      </w:r>
    </w:p>
    <w:p>
      <w:pPr>
        <w:pStyle w:val="4"/>
      </w:pPr>
      <w:bookmarkStart w:id="135" w:name="_Toc90339051"/>
      <w:bookmarkStart w:id="136" w:name="_Toc28713"/>
      <w:r>
        <w:rPr>
          <w:rFonts w:hint="eastAsia"/>
        </w:rPr>
        <w:t>AIoT和嵌入式和微信小程序相互结合</w:t>
      </w:r>
      <w:bookmarkEnd w:id="135"/>
      <w:bookmarkEnd w:id="136"/>
    </w:p>
    <w:p>
      <w:pPr>
        <w:pStyle w:val="37"/>
        <w:ind w:firstLine="560"/>
        <w:rPr>
          <w:rFonts w:hint="eastAsia"/>
        </w:rPr>
      </w:pPr>
      <w:r>
        <w:rPr>
          <w:rFonts w:hint="eastAsia"/>
        </w:rPr>
        <w:t>传统AIoT采用传感器传输数据至云端服务器，由高性能服务器处理数据后再反馈到用户端。但是，这种方式需要算力充沛且强大的算力中心，对通信模组也有较高要求，不仅成本高昂且模型难以部署，这使得传统AIoT更适合在实验室或工业环境中使用，而难以走进普通人生活。而本项目采用边缘计算的AIoT模式，以搭载SOC系统级芯片的JetsonNano作为边缘算力中心，将实时的通过深度学习模型进行计算机视觉和推理。同时，由于由边缘设备进行算法处理，进一步减小了通信压力，减少普通人的使用门槛。此外，本项目使用独立开发的一款简洁的微信小程序为人机交互平台，使产品更亲民，易于使用。</w:t>
      </w:r>
    </w:p>
    <w:p>
      <w:pPr>
        <w:pStyle w:val="4"/>
      </w:pPr>
      <w:bookmarkStart w:id="137" w:name="_Toc7317"/>
      <w:bookmarkStart w:id="138" w:name="_Toc90339052"/>
      <w:r>
        <w:rPr>
          <w:rFonts w:hint="eastAsia"/>
        </w:rPr>
        <w:t>实时环境反馈与计算机视觉有机融合</w:t>
      </w:r>
      <w:bookmarkEnd w:id="137"/>
      <w:bookmarkEnd w:id="138"/>
    </w:p>
    <w:p>
      <w:pPr>
        <w:pStyle w:val="37"/>
        <w:ind w:firstLine="560"/>
      </w:pPr>
      <w:r>
        <w:rPr>
          <w:rFonts w:hint="eastAsia"/>
        </w:rPr>
        <w:t>本项目充分利用Jetson nano资源，对蚕的状态进行识别的同时，对病虫害进行辅助识别，通过卷积神经网络应用，将温度、湿度、二氧化碳浓度等环境因素传入，对分布在各场景下的环境因子、典型特征、变化幅度等动态数据进行综合分析，同时对图片进行降噪处理，为管理流程的优化、管理效率的提高提供了新的内生动力。</w:t>
      </w:r>
    </w:p>
    <w:p>
      <w:pPr>
        <w:pStyle w:val="4"/>
      </w:pPr>
      <w:bookmarkStart w:id="139" w:name="_Toc90339053"/>
      <w:bookmarkStart w:id="140" w:name="_Toc6819"/>
      <w:r>
        <w:rPr>
          <w:rFonts w:hint="eastAsia"/>
          <w:lang w:bidi="ar"/>
        </w:rPr>
        <w:t>算法创新与优化</w:t>
      </w:r>
      <w:bookmarkEnd w:id="139"/>
      <w:bookmarkEnd w:id="140"/>
      <w:r>
        <w:rPr>
          <w:rFonts w:hint="eastAsia"/>
          <w:lang w:bidi="ar"/>
        </w:rPr>
        <w:t xml:space="preserve"> </w:t>
      </w:r>
    </w:p>
    <w:p>
      <w:pPr>
        <w:pStyle w:val="37"/>
        <w:ind w:firstLine="560"/>
      </w:pPr>
      <w:r>
        <w:rPr>
          <w:rFonts w:hint="eastAsia"/>
        </w:rPr>
        <w:t>（1）网络预测算法优化</w:t>
      </w:r>
    </w:p>
    <w:p>
      <w:pPr>
        <w:pStyle w:val="37"/>
        <w:ind w:firstLine="560"/>
      </w:pPr>
      <w:r>
        <w:rPr>
          <w:rFonts w:hint="eastAsia"/>
        </w:rPr>
        <w:t>在网络预测部分中，因为此网络是对视频流中的小目标进行检测，而在当下 CNN 的大 stride 深层特征提取和池化的作用下，小目标的特征信息极易容易丢失，所以我们利用视频流的时间特性，使用背景减法，通过先前的帧构建出背景图像，然后用当前帧图像和背景图像做差,得到差分图像。通过计算差分图像的时空熵,可以有效地检测出目标。</w:t>
      </w:r>
    </w:p>
    <w:p>
      <w:pPr>
        <w:pStyle w:val="37"/>
        <w:ind w:firstLine="560"/>
      </w:pPr>
      <w:r>
        <w:rPr>
          <w:rFonts w:hint="eastAsia"/>
        </w:rPr>
        <w:t xml:space="preserve">（2）网络筛选算法优化 </w:t>
      </w:r>
    </w:p>
    <w:p>
      <w:pPr>
        <w:pStyle w:val="37"/>
        <w:ind w:firstLine="560"/>
      </w:pPr>
      <w:r>
        <w:rPr>
          <w:rFonts w:hint="eastAsia"/>
        </w:rPr>
        <w:t>在 detection 中，通常为了避免 prediction boxes 的重合会使用非极大值抑制的方法筛选候选框，最简单的做法是将 bounding box 的 Confidence排序后依次从 C 最大的 box 与其他计算 IOU，设置一个固定的阈值，IOU 超过阈值的 bbox 则被删除，将所有 bbox 遍历一次后得到最终的结果；这样的做法对有些模型来说会降低 Recall，直接把 prediction 丢掉回损失一部分信息，因此为了改进这个情况提出了 Soft-NMS，即不直接删除掉 IOU 过高的候选框，而是降低 IOU 过高的框的 C，再进行计算，如果置信度过低再将之剔除。</w:t>
      </w:r>
    </w:p>
    <w:p>
      <w:pPr>
        <w:pStyle w:val="37"/>
        <w:ind w:firstLine="560"/>
      </w:pPr>
      <w:r>
        <w:rPr>
          <w:rFonts w:hint="eastAsia"/>
        </w:rPr>
        <w:t>这样的作法可以有效避免因为两个物体重合而导致无法将目标都识别出来，特别是在桑蚕的图片中，蚕和蚕之间相距较近，整体蚕群相对密集，并且存在蚕和蚕重叠的情况。</w:t>
      </w:r>
    </w:p>
    <w:p>
      <w:pPr>
        <w:pStyle w:val="3"/>
      </w:pPr>
      <w:bookmarkStart w:id="141" w:name="_Toc24182"/>
      <w:bookmarkStart w:id="142" w:name="_Toc90339054"/>
      <w:r>
        <w:rPr>
          <w:rFonts w:hint="eastAsia"/>
          <w:lang w:bidi="ar"/>
        </w:rPr>
        <w:t>小程序介绍</w:t>
      </w:r>
      <w:bookmarkEnd w:id="141"/>
      <w:bookmarkEnd w:id="142"/>
      <w:r>
        <w:rPr>
          <w:rFonts w:hint="eastAsia"/>
          <w:lang w:bidi="ar"/>
        </w:rPr>
        <w:t xml:space="preserve"> </w:t>
      </w:r>
    </w:p>
    <w:p>
      <w:pPr>
        <w:pStyle w:val="4"/>
      </w:pPr>
      <w:bookmarkStart w:id="143" w:name="_Toc16697"/>
      <w:bookmarkStart w:id="144" w:name="_Toc90339055"/>
      <w:r>
        <w:rPr>
          <w:rFonts w:hint="eastAsia"/>
          <w:lang w:bidi="ar"/>
        </w:rPr>
        <w:t>主页界面</w:t>
      </w:r>
      <w:bookmarkEnd w:id="143"/>
      <w:bookmarkEnd w:id="144"/>
      <w:r>
        <w:rPr>
          <w:rFonts w:hint="eastAsia"/>
          <w:lang w:bidi="ar"/>
        </w:rPr>
        <w:t xml:space="preserve"> </w:t>
      </w:r>
    </w:p>
    <w:p>
      <w:pPr>
        <w:pStyle w:val="37"/>
        <w:ind w:firstLine="560"/>
      </w:pPr>
      <w:r>
        <w:rPr>
          <w:rFonts w:hint="eastAsia"/>
        </w:rPr>
        <w:t>用户通过启动微信客户端，点击打开《Silk Mate》小程序即可进入。用户可以通过主页自主选择蚕室检测、日志分析、专家知识、联系我们四个模块来实现对应功能。功能模块下方是当前蚕桑养殖行业热点新闻的分享，帮助用户了解实时动态，了解行业风向。</w:t>
      </w:r>
    </w:p>
    <w:p>
      <w:pPr>
        <w:pStyle w:val="37"/>
        <w:ind w:firstLine="560"/>
        <w:rPr>
          <w:rFonts w:hint="eastAsia"/>
        </w:rPr>
      </w:pPr>
    </w:p>
    <w:p>
      <w:pPr>
        <w:widowControl/>
        <w:ind w:firstLine="420"/>
        <w:jc w:val="center"/>
        <w:rPr>
          <w:rFonts w:ascii="仿宋" w:hAnsi="仿宋" w:eastAsia="仿宋" w:cs="仿宋"/>
        </w:rPr>
      </w:pPr>
      <w:r>
        <w:rPr>
          <w:rFonts w:hint="eastAsia" w:ascii="仿宋" w:hAnsi="仿宋" w:eastAsia="仿宋" w:cs="仿宋"/>
        </w:rPr>
        <w:drawing>
          <wp:inline distT="0" distB="0" distL="114300" distR="114300">
            <wp:extent cx="1939925" cy="3684270"/>
            <wp:effectExtent l="0" t="0" r="10795"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1939925" cy="3684270"/>
                    </a:xfrm>
                    <a:prstGeom prst="rect">
                      <a:avLst/>
                    </a:prstGeom>
                    <a:noFill/>
                    <a:ln>
                      <a:noFill/>
                    </a:ln>
                  </pic:spPr>
                </pic:pic>
              </a:graphicData>
            </a:graphic>
          </wp:inline>
        </w:drawing>
      </w:r>
      <w:r>
        <w:rPr>
          <w:rFonts w:hint="eastAsia" w:ascii="仿宋" w:hAnsi="仿宋" w:eastAsia="仿宋" w:cs="仿宋"/>
        </w:rPr>
        <w:t xml:space="preserve">   </w:t>
      </w:r>
      <w:r>
        <w:rPr>
          <w:rFonts w:hint="eastAsia" w:ascii="仿宋" w:hAnsi="仿宋" w:eastAsia="仿宋" w:cs="仿宋"/>
        </w:rPr>
        <w:drawing>
          <wp:inline distT="0" distB="0" distL="114300" distR="114300">
            <wp:extent cx="1956435" cy="3670935"/>
            <wp:effectExtent l="0" t="0" r="9525" b="19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1956435" cy="3670935"/>
                    </a:xfrm>
                    <a:prstGeom prst="rect">
                      <a:avLst/>
                    </a:prstGeom>
                    <a:noFill/>
                    <a:ln>
                      <a:noFill/>
                    </a:ln>
                  </pic:spPr>
                </pic:pic>
              </a:graphicData>
            </a:graphic>
          </wp:inline>
        </w:drawing>
      </w:r>
    </w:p>
    <w:p>
      <w:pPr>
        <w:jc w:val="center"/>
        <w:rPr>
          <w:rFonts w:ascii="仿宋" w:hAnsi="仿宋" w:eastAsia="仿宋" w:cs="仿宋"/>
        </w:rPr>
      </w:pPr>
      <w:bookmarkStart w:id="145" w:name="_Toc90339150"/>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6</w:t>
      </w:r>
      <w:r>
        <w:fldChar w:fldCharType="end"/>
      </w:r>
      <w:r>
        <w:rPr>
          <w:rFonts w:hint="eastAsia" w:ascii="宋体" w:hAnsi="宋体"/>
          <w:sz w:val="21"/>
          <w:szCs w:val="21"/>
        </w:rPr>
        <w:t>小程序</w:t>
      </w:r>
      <w:bookmarkEnd w:id="145"/>
    </w:p>
    <w:p>
      <w:pPr>
        <w:pStyle w:val="4"/>
      </w:pPr>
      <w:bookmarkStart w:id="146" w:name="_Toc5551"/>
      <w:bookmarkStart w:id="147" w:name="_Toc90339056"/>
      <w:r>
        <w:rPr>
          <w:rFonts w:hint="eastAsia"/>
          <w:lang w:bidi="ar"/>
        </w:rPr>
        <w:t>蚕桑监测功能</w:t>
      </w:r>
      <w:bookmarkEnd w:id="146"/>
      <w:bookmarkEnd w:id="147"/>
      <w:r>
        <w:rPr>
          <w:rFonts w:hint="eastAsia"/>
          <w:lang w:bidi="ar"/>
        </w:rPr>
        <w:t xml:space="preserve"> </w:t>
      </w:r>
    </w:p>
    <w:p>
      <w:pPr>
        <w:pStyle w:val="37"/>
        <w:ind w:firstLine="560"/>
      </w:pPr>
      <w:r>
        <w:rPr>
          <w:rFonts w:hint="eastAsia"/>
        </w:rPr>
        <w:t>用户在主页中点击蚕室检测模块，进入设有监控的蚕室界面进行选择，例：</w:t>
      </w:r>
    </w:p>
    <w:p>
      <w:pPr>
        <w:pStyle w:val="37"/>
        <w:ind w:firstLine="560"/>
      </w:pPr>
      <w:r>
        <w:rPr>
          <w:rFonts w:hint="eastAsia"/>
        </w:rPr>
        <w:t>一号蚕室、二号蚕室等，在用户们选择好所需查看检测的蚕室后，点击对应蚕室。</w:t>
      </w:r>
    </w:p>
    <w:p>
      <w:pPr>
        <w:pStyle w:val="37"/>
        <w:ind w:firstLine="560"/>
      </w:pPr>
      <w:r>
        <w:rPr>
          <w:rFonts w:hint="eastAsia"/>
        </w:rPr>
        <w:t xml:space="preserve">进入蚕室实时的监控画面，这里以 1 号蚕室检测为例，进入后可以对蚕室的相关情况进行查看，同时视频下方会显示蚕室的温度、湿度、气流速度、照度和二氧化碳浓度，让用户对室内环境有一个更好的判断，辅助做出养殖决策。同时，监控视频的界面可以通过点击下方“分享”按钮进行分享，让其他用户群体来进行监控和分析。同时，用户若发现相关监控出现故障，检测误差与实际误差过大， </w:t>
      </w:r>
    </w:p>
    <w:p>
      <w:pPr>
        <w:pStyle w:val="37"/>
        <w:ind w:firstLine="560"/>
      </w:pPr>
      <w:r>
        <w:rPr>
          <w:rFonts w:hint="eastAsia"/>
        </w:rPr>
        <w:t>可以点击下方“联系我们”按钮，呼叫相关工作人员进行上门排查。</w:t>
      </w:r>
    </w:p>
    <w:p>
      <w:pPr>
        <w:widowControl/>
        <w:jc w:val="left"/>
        <w:rPr>
          <w:rFonts w:ascii="仿宋" w:hAnsi="仿宋" w:eastAsia="仿宋" w:cs="仿宋"/>
          <w:color w:val="000000"/>
          <w:kern w:val="0"/>
          <w:lang w:bidi="ar"/>
        </w:rPr>
      </w:pPr>
    </w:p>
    <w:p>
      <w:pPr>
        <w:widowControl/>
        <w:jc w:val="center"/>
        <w:rPr>
          <w:rFonts w:ascii="仿宋" w:hAnsi="仿宋" w:eastAsia="仿宋" w:cs="仿宋"/>
        </w:rPr>
      </w:pPr>
      <w:r>
        <w:rPr>
          <w:rFonts w:hint="eastAsia" w:ascii="仿宋" w:hAnsi="仿宋" w:eastAsia="仿宋" w:cs="仿宋"/>
        </w:rPr>
        <w:drawing>
          <wp:inline distT="0" distB="0" distL="114300" distR="114300">
            <wp:extent cx="2066290" cy="3933825"/>
            <wp:effectExtent l="0" t="0" r="6350" b="133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7"/>
                    <a:stretch>
                      <a:fillRect/>
                    </a:stretch>
                  </pic:blipFill>
                  <pic:spPr>
                    <a:xfrm>
                      <a:off x="0" y="0"/>
                      <a:ext cx="2066290" cy="3933825"/>
                    </a:xfrm>
                    <a:prstGeom prst="rect">
                      <a:avLst/>
                    </a:prstGeom>
                    <a:noFill/>
                    <a:ln>
                      <a:noFill/>
                    </a:ln>
                  </pic:spPr>
                </pic:pic>
              </a:graphicData>
            </a:graphic>
          </wp:inline>
        </w:drawing>
      </w:r>
      <w:r>
        <w:rPr>
          <w:rFonts w:hint="eastAsia" w:ascii="仿宋" w:hAnsi="仿宋" w:eastAsia="仿宋" w:cs="仿宋"/>
        </w:rPr>
        <w:t xml:space="preserve">   </w:t>
      </w:r>
      <w:r>
        <w:rPr>
          <w:rFonts w:hint="eastAsia" w:ascii="仿宋" w:hAnsi="仿宋" w:eastAsia="仿宋" w:cs="仿宋"/>
        </w:rPr>
        <w:drawing>
          <wp:inline distT="0" distB="0" distL="114300" distR="114300">
            <wp:extent cx="2161540" cy="3957955"/>
            <wp:effectExtent l="0" t="0" r="2540"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tretch>
                      <a:fillRect/>
                    </a:stretch>
                  </pic:blipFill>
                  <pic:spPr>
                    <a:xfrm>
                      <a:off x="0" y="0"/>
                      <a:ext cx="2161540" cy="3957955"/>
                    </a:xfrm>
                    <a:prstGeom prst="rect">
                      <a:avLst/>
                    </a:prstGeom>
                    <a:noFill/>
                    <a:ln>
                      <a:noFill/>
                    </a:ln>
                  </pic:spPr>
                </pic:pic>
              </a:graphicData>
            </a:graphic>
          </wp:inline>
        </w:drawing>
      </w:r>
    </w:p>
    <w:p>
      <w:pPr>
        <w:jc w:val="center"/>
        <w:rPr>
          <w:rFonts w:ascii="宋体" w:hAnsi="宋体" w:cs="仿宋"/>
          <w:color w:val="000000"/>
          <w:kern w:val="0"/>
          <w:sz w:val="21"/>
          <w:szCs w:val="21"/>
          <w:lang w:bidi="ar"/>
        </w:rPr>
      </w:pPr>
      <w:bookmarkStart w:id="148" w:name="_Toc90339151"/>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7</w:t>
      </w:r>
      <w:r>
        <w:fldChar w:fldCharType="end"/>
      </w:r>
      <w:r>
        <w:rPr>
          <w:rFonts w:hint="eastAsia" w:ascii="宋体" w:hAnsi="宋体"/>
          <w:sz w:val="21"/>
          <w:szCs w:val="21"/>
        </w:rPr>
        <w:t>小程序</w:t>
      </w:r>
      <w:bookmarkEnd w:id="148"/>
    </w:p>
    <w:p>
      <w:pPr>
        <w:widowControl/>
        <w:ind w:firstLine="420"/>
        <w:jc w:val="left"/>
        <w:rPr>
          <w:rFonts w:ascii="仿宋" w:hAnsi="仿宋" w:eastAsia="仿宋" w:cs="仿宋"/>
        </w:rPr>
      </w:pPr>
    </w:p>
    <w:p>
      <w:pPr>
        <w:pStyle w:val="4"/>
      </w:pPr>
      <w:bookmarkStart w:id="149" w:name="_Toc90339057"/>
      <w:bookmarkStart w:id="150" w:name="_Toc19393"/>
      <w:r>
        <w:rPr>
          <w:rFonts w:hint="eastAsia"/>
          <w:lang w:bidi="ar"/>
        </w:rPr>
        <w:t>日志分析功能</w:t>
      </w:r>
      <w:bookmarkEnd w:id="149"/>
      <w:bookmarkEnd w:id="150"/>
      <w:r>
        <w:rPr>
          <w:rFonts w:hint="eastAsia"/>
          <w:lang w:bidi="ar"/>
        </w:rPr>
        <w:t xml:space="preserve"> </w:t>
      </w:r>
    </w:p>
    <w:p>
      <w:pPr>
        <w:pStyle w:val="37"/>
        <w:ind w:firstLine="560"/>
      </w:pPr>
      <w:r>
        <w:rPr>
          <w:rFonts w:hint="eastAsia"/>
        </w:rPr>
        <w:t>用户在主页点击“日志分析”模块，进入蚕室选择界面，用户根据需求对蚕。</w:t>
      </w:r>
    </w:p>
    <w:p>
      <w:pPr>
        <w:pStyle w:val="37"/>
        <w:ind w:firstLine="560"/>
      </w:pPr>
      <w:r>
        <w:rPr>
          <w:rFonts w:hint="eastAsia"/>
        </w:rPr>
        <w:t>室进行选择，点击进入后可查看监控日志，如 1 号蚕室日志分析、2 号蚕室日志分析等。下面以 1 号蚕室日志分析为例，点击进入后，上方图表显示本期环境的折线图，横坐标为对应日期，纵坐标为温度，对本周的温度变化进行一个直观的描述。下方显示日志分析的详细信息，对一周内的温度、湿度、空气及气流、光线等信息进行汇总分析，并提供相关数据和建议，让用户有一个更全面的感知。</w:t>
      </w:r>
    </w:p>
    <w:p>
      <w:pPr>
        <w:pStyle w:val="37"/>
        <w:ind w:firstLine="560"/>
        <w:rPr>
          <w:rFonts w:hint="eastAsia"/>
        </w:rPr>
      </w:pPr>
    </w:p>
    <w:p>
      <w:pPr>
        <w:snapToGrid w:val="0"/>
        <w:spacing w:line="240" w:lineRule="auto"/>
        <w:jc w:val="center"/>
        <w:rPr>
          <w:rFonts w:ascii="仿宋" w:hAnsi="仿宋" w:eastAsia="仿宋" w:cs="仿宋"/>
        </w:rPr>
      </w:pPr>
      <w:r>
        <w:rPr>
          <w:rFonts w:hint="eastAsia" w:ascii="仿宋" w:hAnsi="仿宋" w:eastAsia="仿宋" w:cs="仿宋"/>
        </w:rPr>
        <w:drawing>
          <wp:inline distT="0" distB="0" distL="114300" distR="114300">
            <wp:extent cx="2080895" cy="3851275"/>
            <wp:effectExtent l="0" t="0" r="6985" b="44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9"/>
                    <a:stretch>
                      <a:fillRect/>
                    </a:stretch>
                  </pic:blipFill>
                  <pic:spPr>
                    <a:xfrm>
                      <a:off x="0" y="0"/>
                      <a:ext cx="2080895" cy="3851275"/>
                    </a:xfrm>
                    <a:prstGeom prst="rect">
                      <a:avLst/>
                    </a:prstGeom>
                    <a:noFill/>
                    <a:ln>
                      <a:noFill/>
                    </a:ln>
                  </pic:spPr>
                </pic:pic>
              </a:graphicData>
            </a:graphic>
          </wp:inline>
        </w:drawing>
      </w:r>
      <w:r>
        <w:rPr>
          <w:rFonts w:hint="eastAsia" w:ascii="仿宋" w:hAnsi="仿宋" w:eastAsia="仿宋" w:cs="仿宋"/>
        </w:rPr>
        <w:t xml:space="preserve">   </w:t>
      </w:r>
      <w:r>
        <w:rPr>
          <w:rFonts w:hint="eastAsia" w:ascii="仿宋" w:hAnsi="仿宋" w:eastAsia="仿宋" w:cs="仿宋"/>
        </w:rPr>
        <w:drawing>
          <wp:inline distT="0" distB="0" distL="114300" distR="114300">
            <wp:extent cx="2093595" cy="3842385"/>
            <wp:effectExtent l="0" t="0" r="9525" b="133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0"/>
                    <a:stretch>
                      <a:fillRect/>
                    </a:stretch>
                  </pic:blipFill>
                  <pic:spPr>
                    <a:xfrm>
                      <a:off x="0" y="0"/>
                      <a:ext cx="2093595" cy="3842385"/>
                    </a:xfrm>
                    <a:prstGeom prst="rect">
                      <a:avLst/>
                    </a:prstGeom>
                    <a:noFill/>
                    <a:ln>
                      <a:noFill/>
                    </a:ln>
                  </pic:spPr>
                </pic:pic>
              </a:graphicData>
            </a:graphic>
          </wp:inline>
        </w:drawing>
      </w:r>
    </w:p>
    <w:p>
      <w:pPr>
        <w:jc w:val="center"/>
        <w:rPr>
          <w:rFonts w:hint="eastAsia" w:ascii="宋体" w:hAnsi="宋体" w:cs="仿宋"/>
          <w:sz w:val="21"/>
          <w:szCs w:val="21"/>
        </w:rPr>
      </w:pPr>
      <w:bookmarkStart w:id="151" w:name="_Toc90339152"/>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8</w:t>
      </w:r>
      <w:r>
        <w:fldChar w:fldCharType="end"/>
      </w:r>
      <w:r>
        <w:rPr>
          <w:rFonts w:hint="eastAsia" w:ascii="宋体" w:hAnsi="宋体" w:cs="仿宋"/>
          <w:sz w:val="21"/>
          <w:szCs w:val="21"/>
        </w:rPr>
        <w:t>小程序</w:t>
      </w:r>
      <w:bookmarkEnd w:id="151"/>
    </w:p>
    <w:p>
      <w:pPr>
        <w:pStyle w:val="4"/>
      </w:pPr>
      <w:bookmarkStart w:id="152" w:name="_Toc21022"/>
      <w:bookmarkStart w:id="153" w:name="_Toc90339058"/>
      <w:r>
        <w:rPr>
          <w:rFonts w:hint="eastAsia"/>
          <w:lang w:bidi="ar"/>
        </w:rPr>
        <w:t>专家知识功能</w:t>
      </w:r>
      <w:bookmarkEnd w:id="152"/>
      <w:bookmarkEnd w:id="153"/>
      <w:r>
        <w:rPr>
          <w:rFonts w:hint="eastAsia"/>
          <w:lang w:bidi="ar"/>
        </w:rPr>
        <w:t xml:space="preserve"> </w:t>
      </w:r>
    </w:p>
    <w:p>
      <w:pPr>
        <w:pStyle w:val="37"/>
        <w:ind w:firstLine="560"/>
      </w:pPr>
      <w:r>
        <w:rPr>
          <w:rFonts w:hint="eastAsia"/>
        </w:rPr>
        <w:t>用户在首页点击进入“专家知识”模块即可使用相关功能。内含当前养蚕的最新专业知识，除了相关专业科学知识外，同时包含了行业内相关合作社的经验分享，内部相关知识实时更新，用户可对个人需求进行选择和学习。下面以农村合作社为例，用户在点击后进入农业合作社后，即可查看对应文章，通过他人的分享，用户可以按他人分享养殖步骤和经验进行选择性学习。</w:t>
      </w:r>
    </w:p>
    <w:p>
      <w:pPr>
        <w:snapToGrid w:val="0"/>
        <w:spacing w:line="240" w:lineRule="auto"/>
        <w:jc w:val="center"/>
        <w:rPr>
          <w:rFonts w:ascii="仿宋" w:hAnsi="仿宋" w:eastAsia="仿宋" w:cs="仿宋"/>
        </w:rPr>
      </w:pPr>
      <w:r>
        <w:rPr>
          <w:rFonts w:hint="eastAsia" w:ascii="仿宋" w:hAnsi="仿宋" w:eastAsia="仿宋" w:cs="仿宋"/>
        </w:rPr>
        <w:drawing>
          <wp:inline distT="0" distB="0" distL="114300" distR="114300">
            <wp:extent cx="1914525" cy="3533775"/>
            <wp:effectExtent l="0" t="0" r="5715" b="190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1"/>
                    <a:stretch>
                      <a:fillRect/>
                    </a:stretch>
                  </pic:blipFill>
                  <pic:spPr>
                    <a:xfrm>
                      <a:off x="0" y="0"/>
                      <a:ext cx="1914525" cy="3533775"/>
                    </a:xfrm>
                    <a:prstGeom prst="rect">
                      <a:avLst/>
                    </a:prstGeom>
                    <a:noFill/>
                    <a:ln>
                      <a:noFill/>
                    </a:ln>
                  </pic:spPr>
                </pic:pic>
              </a:graphicData>
            </a:graphic>
          </wp:inline>
        </w:drawing>
      </w:r>
      <w:r>
        <w:rPr>
          <w:rFonts w:hint="eastAsia" w:ascii="仿宋" w:hAnsi="仿宋" w:eastAsia="仿宋" w:cs="仿宋"/>
        </w:rPr>
        <w:t xml:space="preserve">   </w:t>
      </w:r>
      <w:r>
        <w:rPr>
          <w:rFonts w:hint="eastAsia" w:ascii="仿宋" w:hAnsi="仿宋" w:eastAsia="仿宋" w:cs="仿宋"/>
        </w:rPr>
        <w:drawing>
          <wp:inline distT="0" distB="0" distL="114300" distR="114300">
            <wp:extent cx="1895475" cy="3525520"/>
            <wp:effectExtent l="0" t="0" r="9525"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2"/>
                    <a:stretch>
                      <a:fillRect/>
                    </a:stretch>
                  </pic:blipFill>
                  <pic:spPr>
                    <a:xfrm>
                      <a:off x="0" y="0"/>
                      <a:ext cx="1895475" cy="3525520"/>
                    </a:xfrm>
                    <a:prstGeom prst="rect">
                      <a:avLst/>
                    </a:prstGeom>
                    <a:noFill/>
                    <a:ln>
                      <a:noFill/>
                    </a:ln>
                  </pic:spPr>
                </pic:pic>
              </a:graphicData>
            </a:graphic>
          </wp:inline>
        </w:drawing>
      </w:r>
    </w:p>
    <w:p>
      <w:pPr>
        <w:jc w:val="center"/>
        <w:rPr>
          <w:rFonts w:ascii="宋体" w:hAnsi="宋体" w:cs="仿宋"/>
          <w:sz w:val="21"/>
          <w:szCs w:val="21"/>
        </w:rPr>
      </w:pPr>
      <w:bookmarkStart w:id="154" w:name="_Toc90339153"/>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9</w:t>
      </w:r>
      <w:r>
        <w:fldChar w:fldCharType="end"/>
      </w:r>
      <w:r>
        <w:rPr>
          <w:rFonts w:hint="eastAsia" w:ascii="宋体" w:hAnsi="宋体"/>
          <w:sz w:val="21"/>
          <w:szCs w:val="21"/>
        </w:rPr>
        <w:t>小程序</w:t>
      </w:r>
      <w:bookmarkEnd w:id="154"/>
    </w:p>
    <w:p>
      <w:pPr>
        <w:snapToGrid w:val="0"/>
        <w:spacing w:line="240" w:lineRule="auto"/>
        <w:rPr>
          <w:rFonts w:ascii="仿宋" w:hAnsi="仿宋" w:eastAsia="仿宋" w:cs="仿宋"/>
        </w:rPr>
      </w:pPr>
    </w:p>
    <w:p>
      <w:pPr>
        <w:pStyle w:val="3"/>
      </w:pPr>
      <w:bookmarkStart w:id="155" w:name="_Toc90339059"/>
      <w:bookmarkStart w:id="156" w:name="_Toc15481"/>
      <w:r>
        <w:rPr>
          <w:rFonts w:hint="eastAsia"/>
        </w:rPr>
        <w:t>软件著作权申请进行中</w:t>
      </w:r>
      <w:bookmarkEnd w:id="155"/>
      <w:bookmarkEnd w:id="156"/>
    </w:p>
    <w:p>
      <w:pPr>
        <w:snapToGrid w:val="0"/>
        <w:spacing w:line="240" w:lineRule="auto"/>
        <w:jc w:val="center"/>
        <w:rPr>
          <w:rFonts w:hint="eastAsia"/>
        </w:rPr>
      </w:pPr>
      <w:r>
        <w:drawing>
          <wp:inline distT="0" distB="0" distL="114300" distR="114300">
            <wp:extent cx="3742690" cy="2451100"/>
            <wp:effectExtent l="0" t="0" r="6350" b="2540"/>
            <wp:docPr id="25" name="图片 25" descr="Snipaste_2021-12-13_15-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ipaste_2021-12-13_15-44-42"/>
                    <pic:cNvPicPr>
                      <a:picLocks noChangeAspect="1"/>
                    </pic:cNvPicPr>
                  </pic:nvPicPr>
                  <pic:blipFill>
                    <a:blip r:embed="rId23"/>
                    <a:stretch>
                      <a:fillRect/>
                    </a:stretch>
                  </pic:blipFill>
                  <pic:spPr>
                    <a:xfrm>
                      <a:off x="0" y="0"/>
                      <a:ext cx="3742690" cy="2451100"/>
                    </a:xfrm>
                    <a:prstGeom prst="rect">
                      <a:avLst/>
                    </a:prstGeom>
                  </pic:spPr>
                </pic:pic>
              </a:graphicData>
            </a:graphic>
          </wp:inline>
        </w:drawing>
      </w:r>
    </w:p>
    <w:p>
      <w:pPr>
        <w:jc w:val="center"/>
        <w:rPr>
          <w:rFonts w:hint="eastAsia" w:ascii="宋体" w:hAnsi="宋体"/>
          <w:sz w:val="21"/>
          <w:szCs w:val="21"/>
        </w:rPr>
        <w:sectPr>
          <w:pgSz w:w="11906" w:h="16838"/>
          <w:pgMar w:top="1440" w:right="1800" w:bottom="1440" w:left="1800" w:header="851" w:footer="992" w:gutter="0"/>
          <w:cols w:space="425" w:num="1"/>
          <w:docGrid w:type="lines" w:linePitch="312" w:charSpace="0"/>
        </w:sectPr>
      </w:pPr>
      <w:bookmarkStart w:id="157" w:name="_Toc90339154"/>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10</w:t>
      </w:r>
      <w:r>
        <w:fldChar w:fldCharType="end"/>
      </w:r>
      <w:r>
        <w:rPr>
          <w:rFonts w:hint="eastAsia" w:ascii="宋体" w:hAnsi="宋体"/>
          <w:sz w:val="21"/>
          <w:szCs w:val="21"/>
        </w:rPr>
        <w:t>软件著作权申请</w:t>
      </w:r>
      <w:bookmarkEnd w:id="157"/>
    </w:p>
    <w:p>
      <w:pPr>
        <w:pStyle w:val="2"/>
        <w:rPr>
          <w:rFonts w:ascii="黑体" w:hAnsi="黑体" w:eastAsia="黑体"/>
          <w:sz w:val="32"/>
          <w:szCs w:val="32"/>
        </w:rPr>
      </w:pPr>
      <w:bookmarkStart w:id="158" w:name="_Toc90339060"/>
      <w:bookmarkStart w:id="159" w:name="_Toc10427"/>
      <w:bookmarkStart w:id="160" w:name="_Toc24445"/>
      <w:r>
        <w:rPr>
          <w:rFonts w:hint="eastAsia" w:ascii="黑体" w:hAnsi="黑体" w:eastAsia="黑体"/>
          <w:sz w:val="32"/>
          <w:szCs w:val="32"/>
        </w:rPr>
        <w:t>市场分析</w:t>
      </w:r>
      <w:bookmarkEnd w:id="116"/>
      <w:bookmarkEnd w:id="117"/>
      <w:bookmarkEnd w:id="118"/>
      <w:bookmarkEnd w:id="158"/>
      <w:bookmarkEnd w:id="159"/>
      <w:bookmarkEnd w:id="160"/>
    </w:p>
    <w:p>
      <w:pPr>
        <w:pStyle w:val="3"/>
      </w:pPr>
      <w:bookmarkStart w:id="161" w:name="_Toc228"/>
      <w:bookmarkStart w:id="162" w:name="_Toc20572"/>
      <w:bookmarkStart w:id="163" w:name="_Toc32565"/>
      <w:bookmarkStart w:id="164" w:name="_Toc19611"/>
      <w:bookmarkStart w:id="165" w:name="_Toc90339061"/>
      <w:r>
        <w:rPr>
          <w:rFonts w:hint="eastAsia"/>
        </w:rPr>
        <w:t>基于PEST模型的市场分析</w:t>
      </w:r>
      <w:bookmarkEnd w:id="161"/>
      <w:bookmarkEnd w:id="162"/>
      <w:bookmarkEnd w:id="163"/>
      <w:bookmarkEnd w:id="164"/>
      <w:bookmarkEnd w:id="165"/>
    </w:p>
    <w:p>
      <w:pPr>
        <w:pStyle w:val="4"/>
      </w:pPr>
      <w:bookmarkStart w:id="166" w:name="_Toc23602"/>
      <w:bookmarkStart w:id="167" w:name="_Toc17752"/>
      <w:bookmarkStart w:id="168" w:name="_Toc90339062"/>
      <w:bookmarkStart w:id="169" w:name="_Toc11081"/>
      <w:bookmarkStart w:id="170" w:name="_Toc22055"/>
      <w:r>
        <w:rPr>
          <w:rFonts w:hint="eastAsia"/>
        </w:rPr>
        <w:t>政策导向——政府扶持下的“新”蚕桑</w:t>
      </w:r>
      <w:bookmarkEnd w:id="166"/>
      <w:bookmarkEnd w:id="167"/>
      <w:bookmarkEnd w:id="168"/>
      <w:bookmarkEnd w:id="169"/>
      <w:bookmarkEnd w:id="170"/>
    </w:p>
    <w:p>
      <w:pPr>
        <w:pStyle w:val="37"/>
        <w:ind w:firstLine="560"/>
      </w:pPr>
      <w:r>
        <w:rPr>
          <w:rFonts w:hint="eastAsia"/>
        </w:rPr>
        <w:t>（1）以蚕桑发展全面推动乡村振兴</w:t>
      </w:r>
    </w:p>
    <w:p>
      <w:pPr>
        <w:pStyle w:val="37"/>
        <w:ind w:firstLine="560"/>
        <w:rPr>
          <w:rFonts w:hint="eastAsia"/>
        </w:rPr>
      </w:pPr>
      <w:r>
        <w:rPr>
          <w:rFonts w:hint="eastAsia"/>
        </w:rPr>
        <w:t>《中共中央国务院关于全面推进乡村振兴加快农业农村现代化的意见》，即2021年中央一号文件发布。文件指出，民族要复兴，乡村必振兴。要坚持把解决好“三农”问题作为全党工作重中之重，把全面推进乡村振兴作为实现中华民族伟大复兴的一项重大任务，举全党全社会之力加快农业农村现代化，让广大农民过上更加美好的生活。桑蚕茧生产投入少、周期短、见效快，是贫困户最易接受、收入最有保障的产业，为全国各地助农增收、脱贫攻坚做出了积极贡献。蚕桑养殖行业不仅是一些乡村脱贫致富的核心，还能促进乡村文化、社会、生态的改善，有利于防风固沙、静化空乞、美画家园。保持水土及乡村旅游生态，加快实现农村现代化。</w:t>
      </w:r>
    </w:p>
    <w:p>
      <w:pPr>
        <w:pStyle w:val="37"/>
        <w:ind w:firstLine="560"/>
      </w:pPr>
      <w:r>
        <w:rPr>
          <w:rFonts w:hint="eastAsia"/>
        </w:rPr>
        <w:t>（2）蚕桑丝绸产业高质量发展行动计划</w:t>
      </w:r>
    </w:p>
    <w:p>
      <w:pPr>
        <w:pStyle w:val="37"/>
        <w:ind w:firstLine="560"/>
      </w:pPr>
      <w:r>
        <w:rPr>
          <w:rFonts w:hint="eastAsia"/>
        </w:rPr>
        <w:t>工业和信息化部、农业农村部、商务部、文化和旅游部、国家市场监督管理总局、国家知识产权局六部门联合印发《蚕桑丝绸产业高质量发展行动计划(2021-2025年)》，以习近平新时代中国特色社会主义思想为指导，全面贯彻党的十九大和十九届二中、三中、四中全会精神，坚持新发展理念，落实高质量发展要求，大力推进蚕桑丝绸产业供给侧结构性改革，着力构建一二三产业协同发展、大中小企业融通发展新体系，增强创新驱动发展新动能，探索产业转型新模式，开创新时代蚕桑丝绸产业发展新局面。</w:t>
      </w:r>
    </w:p>
    <w:p>
      <w:pPr>
        <w:pStyle w:val="37"/>
        <w:ind w:firstLine="560"/>
      </w:pPr>
      <w:r>
        <w:rPr>
          <w:rFonts w:hint="eastAsia"/>
        </w:rPr>
        <w:t>计划指出，到2025年，要实现种桑养蚕规模化、丝绸生产智能化、综合利用产业化。规模化集约化基地蚕茧产量占全国蚕茧产量的20%以上，形成一批桑园面积达10万亩以上的重点蚕桑生产基地。全龄饲料工厂化养蚕的鲜茧产量在我国桑蚕鲜茧总产量中的占比达10%左右。形成一批数字化智能化缫丝、织绸工厂和国际化大型骨干企业，缫丝综合能耗降低50%、劳动生产率提高30%。同时，计划要求以提升科技创新水平、推进蚕桑生产产业化集约化、建设现代丝绸产业体系等为主要任务。</w:t>
      </w:r>
    </w:p>
    <w:p>
      <w:pPr>
        <w:pStyle w:val="4"/>
        <w:rPr>
          <w:color w:val="333333"/>
          <w:shd w:val="clear" w:color="auto" w:fill="FFFFFF"/>
        </w:rPr>
      </w:pPr>
      <w:bookmarkStart w:id="171" w:name="_Toc17953"/>
      <w:bookmarkStart w:id="172" w:name="_Toc90339063"/>
      <w:bookmarkStart w:id="173" w:name="_Toc25483"/>
      <w:bookmarkStart w:id="174" w:name="_Toc9965"/>
      <w:bookmarkStart w:id="175" w:name="_Toc13954"/>
      <w:r>
        <w:rPr>
          <w:rFonts w:hint="eastAsia"/>
        </w:rPr>
        <w:t>经济潜力——蚕桑发展新态势</w:t>
      </w:r>
      <w:bookmarkEnd w:id="171"/>
      <w:bookmarkEnd w:id="172"/>
      <w:bookmarkEnd w:id="173"/>
      <w:bookmarkEnd w:id="174"/>
      <w:bookmarkEnd w:id="175"/>
    </w:p>
    <w:p>
      <w:pPr>
        <w:pStyle w:val="37"/>
        <w:ind w:firstLine="560"/>
      </w:pPr>
      <w:r>
        <w:rPr>
          <w:rFonts w:hint="eastAsia"/>
        </w:rPr>
        <w:t>（1）投资主体多元化</w:t>
      </w:r>
    </w:p>
    <w:p>
      <w:pPr>
        <w:pStyle w:val="37"/>
        <w:ind w:firstLine="560"/>
        <w:rPr>
          <w:rFonts w:hint="eastAsia"/>
        </w:rPr>
      </w:pPr>
      <w:r>
        <w:rPr>
          <w:rFonts w:hint="eastAsia"/>
        </w:rPr>
        <w:t>以蚕桑产业的龙头企业为参照，建立完善的蚕桑产业管理机制，实现蚕桑产业模式的创新发展，从改革并购流通体制着手，完善蚕桑产业制度，加强多方合作，增强蚕桑产业的活力和综合实力，构建全新的蚕桑产业生产经营模式，组成“桑农+公司+合作社”与“农户+公司+协会”的共同体模式，促进蚕桑产业的一体化建设和发展进程，构建经济联合机构的新模式，实现风险共担、利益共享。针对流通市场加大建设力度，借助现代化网络技术和平台，向全国和全世界推广蚕桑产业产品，不断拓展丝绸市场。在多方合作的模式下，提高蚕桑产业的生产和运行效率，增加蚕桑产品的销量，实现蚕桑产业模式的创新，为蚕桑产业发展拓宽空间。</w:t>
      </w:r>
    </w:p>
    <w:p>
      <w:pPr>
        <w:pStyle w:val="37"/>
        <w:ind w:firstLine="560"/>
      </w:pPr>
      <w:r>
        <w:rPr>
          <w:rFonts w:hint="eastAsia"/>
        </w:rPr>
        <w:t>（2）填补市场空缺</w:t>
      </w:r>
    </w:p>
    <w:p>
      <w:pPr>
        <w:pStyle w:val="37"/>
        <w:ind w:firstLine="560"/>
      </w:pPr>
      <w:r>
        <w:rPr>
          <w:rFonts w:hint="eastAsia"/>
        </w:rPr>
        <w:t>当今世界纺织纤维的年产销量已高达5000万吨—6000万吨，其中一半是化学纤维，一半左右是以棉花为主的天然纤维。蚕丝总量约10万吨，只占纤维总量的O．17％、天然纤维量的O．34％，属于量少质优高档的纺织产品，有它特定的消费市场与消费群体。就国内市场而言。随着国民经济持续较高速度增长，人民生活水平逐步提高，加上“回归自然”、养生保健等消费意识的形成。丝绸传统文化的弘扬，包括丝绸在内的天然纤维消费量也将适度增加。综合各方面的信息，预计茧丝绸的市场需求，有可能达到年递增5％一6％的程度。随着科技开发的力度加大，还会不时地涌现蚕丝新产品，开辟消费新领域。对于整个纺织市场来说蚕桑的空缺还是很大的，且相比于棉花和化学纤维，蚕桑市场的可进入屏障较弱，现有竞争者竞争力不强。</w:t>
      </w:r>
    </w:p>
    <w:p>
      <w:pPr>
        <w:jc w:val="center"/>
        <w:rPr>
          <w:rFonts w:ascii="仿宋" w:hAnsi="仿宋" w:eastAsia="仿宋" w:cs="仿宋"/>
        </w:rPr>
      </w:pPr>
      <w:r>
        <w:rPr>
          <w:rFonts w:hint="eastAsia" w:ascii="仿宋" w:hAnsi="仿宋" w:eastAsia="仿宋" w:cs="仿宋"/>
        </w:rPr>
        <w:drawing>
          <wp:inline distT="0" distB="0" distL="114300" distR="114300">
            <wp:extent cx="4370705" cy="2932430"/>
            <wp:effectExtent l="0" t="0" r="0" b="0"/>
            <wp:docPr id="13" name="图片 13" descr="kkk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kkkkkk"/>
                    <pic:cNvPicPr>
                      <a:picLocks noChangeAspect="1"/>
                    </pic:cNvPicPr>
                  </pic:nvPicPr>
                  <pic:blipFill>
                    <a:blip r:embed="rId24"/>
                    <a:stretch>
                      <a:fillRect/>
                    </a:stretch>
                  </pic:blipFill>
                  <pic:spPr>
                    <a:xfrm>
                      <a:off x="0" y="0"/>
                      <a:ext cx="4370705" cy="2932430"/>
                    </a:xfrm>
                    <a:prstGeom prst="rect">
                      <a:avLst/>
                    </a:prstGeom>
                  </pic:spPr>
                </pic:pic>
              </a:graphicData>
            </a:graphic>
          </wp:inline>
        </w:drawing>
      </w:r>
    </w:p>
    <w:p>
      <w:pPr>
        <w:jc w:val="center"/>
        <w:rPr>
          <w:rFonts w:ascii="宋体" w:hAnsi="宋体" w:cs="仿宋"/>
          <w:sz w:val="21"/>
          <w:szCs w:val="21"/>
        </w:rPr>
      </w:pPr>
      <w:bookmarkStart w:id="176" w:name="_Toc90339155"/>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11</w:t>
      </w:r>
      <w:r>
        <w:fldChar w:fldCharType="end"/>
      </w:r>
      <w:r>
        <w:rPr>
          <w:rFonts w:hint="eastAsia" w:ascii="宋体" w:hAnsi="宋体" w:cs="仿宋"/>
          <w:sz w:val="21"/>
          <w:szCs w:val="21"/>
        </w:rPr>
        <w:t>蚕茧产量变化趋势图</w:t>
      </w:r>
      <w:bookmarkEnd w:id="176"/>
    </w:p>
    <w:p>
      <w:pPr>
        <w:jc w:val="center"/>
        <w:rPr>
          <w:rFonts w:ascii="仿宋" w:hAnsi="仿宋" w:eastAsia="仿宋" w:cs="仿宋"/>
        </w:rPr>
      </w:pPr>
    </w:p>
    <w:p>
      <w:pPr>
        <w:pStyle w:val="37"/>
        <w:ind w:firstLine="560"/>
      </w:pPr>
      <w:r>
        <w:rPr>
          <w:rFonts w:hint="eastAsia"/>
        </w:rPr>
        <w:t>（3）唤醒“沉睡”资源</w:t>
      </w:r>
    </w:p>
    <w:p>
      <w:pPr>
        <w:pStyle w:val="37"/>
        <w:ind w:firstLine="560"/>
      </w:pPr>
      <w:r>
        <w:rPr>
          <w:rFonts w:hint="eastAsia"/>
        </w:rPr>
        <w:t>蚕桑作为传统产业在资源开发方面利用水平较低，我国蚕桑产业入驻对象主要分为三类，分别是国营蚕种场，私营蚕桑企业和个体农户。国营蚕种场普遍存在以下问题:生产设施陈旧,基础条件落后；人员负担沉重,科技力量薄弱；生产经营规模小,产能过剩严重；蚕种销售范围狭窄,区域分割依旧；科技创新能力不足,缺乏多元化拓展的技术支撑。这些问题导致大多数国营蚕种场整体劳动生产率和资产利用率较低,经济效益较差。而在私营蚕桑企业中龙头企业少，规模小，带动作用不强，经济效益也不高，难以形成较成熟的产业发展形势。而个体农户的蚕桑产量较前两者更小且往往无法采用科学的养蚕方法导致环境污染和盈利能力低下。</w:t>
      </w:r>
    </w:p>
    <w:p>
      <w:pPr>
        <w:ind w:firstLine="420"/>
        <w:rPr>
          <w:rFonts w:ascii="仿宋" w:hAnsi="仿宋" w:eastAsia="仿宋" w:cs="仿宋"/>
          <w:color w:val="3B3B3B"/>
          <w:shd w:val="clear" w:color="auto" w:fill="FFFFFF"/>
        </w:rPr>
      </w:pPr>
      <w:r>
        <w:rPr>
          <w:rFonts w:hint="eastAsia" w:ascii="仿宋" w:hAnsi="仿宋" w:eastAsia="仿宋" w:cs="仿宋"/>
          <w:color w:val="3B3B3B"/>
          <w:shd w:val="clear" w:color="auto" w:fill="FFFFFF"/>
        </w:rPr>
        <w:drawing>
          <wp:inline distT="0" distB="0" distL="114300" distR="114300">
            <wp:extent cx="4370705" cy="2932430"/>
            <wp:effectExtent l="0" t="0" r="0" b="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25"/>
                    <a:stretch>
                      <a:fillRect/>
                    </a:stretch>
                  </pic:blipFill>
                  <pic:spPr>
                    <a:xfrm>
                      <a:off x="0" y="0"/>
                      <a:ext cx="4370705" cy="2932430"/>
                    </a:xfrm>
                    <a:prstGeom prst="rect">
                      <a:avLst/>
                    </a:prstGeom>
                  </pic:spPr>
                </pic:pic>
              </a:graphicData>
            </a:graphic>
          </wp:inline>
        </w:drawing>
      </w:r>
    </w:p>
    <w:p>
      <w:pPr>
        <w:jc w:val="center"/>
        <w:rPr>
          <w:rFonts w:ascii="仿宋" w:hAnsi="仿宋" w:eastAsia="仿宋" w:cs="仿宋"/>
          <w:color w:val="3B3B3B"/>
          <w:shd w:val="clear" w:color="auto" w:fill="FFFFFF"/>
        </w:rPr>
      </w:pPr>
      <w:bookmarkStart w:id="177" w:name="_Toc90339156"/>
      <w:r>
        <w:rPr>
          <w:rFonts w:hint="eastAsia"/>
        </w:rPr>
        <w:t xml:space="preserve">图表 </w:t>
      </w:r>
      <w:r>
        <w:rPr>
          <w:rFonts w:ascii="宋体" w:hAnsi="宋体"/>
          <w:sz w:val="21"/>
          <w:szCs w:val="21"/>
        </w:rPr>
        <w:fldChar w:fldCharType="begin"/>
      </w:r>
      <w:r>
        <w:rPr>
          <w:rFonts w:ascii="宋体" w:hAnsi="宋体"/>
          <w:sz w:val="21"/>
          <w:szCs w:val="21"/>
        </w:rPr>
        <w:instrText xml:space="preserve"> </w:instrText>
      </w:r>
      <w:r>
        <w:rPr>
          <w:rFonts w:hint="eastAsia" w:ascii="宋体" w:hAnsi="宋体"/>
          <w:sz w:val="21"/>
          <w:szCs w:val="21"/>
        </w:rPr>
        <w:instrText xml:space="preserve">SEQ 图表 \* ARABIC</w:instrText>
      </w:r>
      <w:r>
        <w:rPr>
          <w:rFonts w:ascii="宋体" w:hAnsi="宋体"/>
          <w:sz w:val="21"/>
          <w:szCs w:val="21"/>
        </w:rPr>
        <w:instrText xml:space="preserve"> </w:instrText>
      </w:r>
      <w:r>
        <w:rPr>
          <w:rFonts w:ascii="宋体" w:hAnsi="宋体"/>
          <w:sz w:val="21"/>
          <w:szCs w:val="21"/>
        </w:rPr>
        <w:fldChar w:fldCharType="separate"/>
      </w:r>
      <w:r>
        <w:rPr>
          <w:rFonts w:ascii="宋体" w:hAnsi="宋体"/>
          <w:sz w:val="21"/>
          <w:szCs w:val="21"/>
        </w:rPr>
        <w:t>12</w:t>
      </w:r>
      <w:r>
        <w:rPr>
          <w:rFonts w:ascii="宋体" w:hAnsi="宋体"/>
          <w:sz w:val="21"/>
          <w:szCs w:val="21"/>
        </w:rPr>
        <w:fldChar w:fldCharType="end"/>
      </w:r>
      <w:r>
        <w:rPr>
          <w:rFonts w:hint="eastAsia" w:ascii="宋体" w:hAnsi="宋体" w:cs="仿宋"/>
          <w:color w:val="3B3B3B"/>
          <w:sz w:val="21"/>
          <w:szCs w:val="21"/>
          <w:shd w:val="clear" w:color="auto" w:fill="FFFFFF"/>
        </w:rPr>
        <w:t>近年来桑园种植面积变化图</w:t>
      </w:r>
      <w:bookmarkEnd w:id="177"/>
    </w:p>
    <w:p>
      <w:pPr>
        <w:jc w:val="center"/>
        <w:rPr>
          <w:rFonts w:ascii="仿宋" w:hAnsi="仿宋" w:eastAsia="仿宋" w:cs="仿宋"/>
          <w:color w:val="3B3B3B"/>
          <w:shd w:val="clear" w:color="auto" w:fill="FFFFFF"/>
        </w:rPr>
      </w:pPr>
    </w:p>
    <w:p>
      <w:pPr>
        <w:pStyle w:val="37"/>
        <w:ind w:firstLine="560"/>
      </w:pPr>
      <w:r>
        <w:rPr>
          <w:rFonts w:hint="eastAsia"/>
        </w:rPr>
        <w:t>（4）创收大幅增长</w:t>
      </w:r>
    </w:p>
    <w:p>
      <w:pPr>
        <w:pStyle w:val="37"/>
        <w:ind w:firstLine="560"/>
      </w:pPr>
      <w:r>
        <w:rPr>
          <w:rFonts w:hint="eastAsia"/>
        </w:rPr>
        <w:t>近年来，蚕农收入呈现持续增长态势，2018年全国蚕农售茧收入达308.32亿元，东、中、西部地区分别实现蚕农售茧收入44.13亿元、20.58亿元和243.61亿元，其中东、中部地区蚕茧收入分别下降0.5%、1.2%，西部地区蚕茧收入增长1.7%。2017年我国每亩桑园蚕茧产量107.03公斤，现金成本达883.25元，同比2017年增长9%；现金收益为3995.57元，同比2018年上升29.9%。伴随着我国蚕桑生产技术水平继续提高，桑蚕优良品种、标准化蚕茧生产技术体系有望得到推广，蚕桑产业综合经济效益有望进一步提升。</w:t>
      </w:r>
    </w:p>
    <w:p>
      <w:pPr>
        <w:rPr>
          <w:rFonts w:ascii="仿宋" w:hAnsi="仿宋" w:eastAsia="仿宋" w:cs="仿宋"/>
          <w:color w:val="3B3B3B"/>
          <w:shd w:val="clear" w:color="auto" w:fill="FFFFFF"/>
        </w:rPr>
      </w:pPr>
      <w:r>
        <w:rPr>
          <w:rFonts w:hint="eastAsia" w:ascii="仿宋" w:hAnsi="仿宋" w:eastAsia="仿宋" w:cs="仿宋"/>
          <w:color w:val="3B3B3B"/>
          <w:shd w:val="clear" w:color="auto" w:fill="FFFFFF"/>
        </w:rPr>
        <w:drawing>
          <wp:inline distT="0" distB="0" distL="114300" distR="114300">
            <wp:extent cx="5269230" cy="2309495"/>
            <wp:effectExtent l="0" t="0" r="3810" b="6985"/>
            <wp:docPr id="3" name="图片 3" descr="2013-2017年全国桑蚕茧成本收益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3-2017年全国桑蚕茧成本收益情况"/>
                    <pic:cNvPicPr>
                      <a:picLocks noChangeAspect="1"/>
                    </pic:cNvPicPr>
                  </pic:nvPicPr>
                  <pic:blipFill>
                    <a:blip r:embed="rId26"/>
                    <a:stretch>
                      <a:fillRect/>
                    </a:stretch>
                  </pic:blipFill>
                  <pic:spPr>
                    <a:xfrm>
                      <a:off x="0" y="0"/>
                      <a:ext cx="5269230" cy="2309495"/>
                    </a:xfrm>
                    <a:prstGeom prst="rect">
                      <a:avLst/>
                    </a:prstGeom>
                  </pic:spPr>
                </pic:pic>
              </a:graphicData>
            </a:graphic>
          </wp:inline>
        </w:drawing>
      </w:r>
    </w:p>
    <w:p>
      <w:pPr>
        <w:jc w:val="center"/>
        <w:rPr>
          <w:rFonts w:ascii="宋体" w:hAnsi="宋体" w:cs="仿宋"/>
          <w:color w:val="3B3B3B"/>
          <w:sz w:val="21"/>
          <w:szCs w:val="21"/>
          <w:shd w:val="clear" w:color="auto" w:fill="FFFFFF"/>
        </w:rPr>
      </w:pPr>
      <w:bookmarkStart w:id="178" w:name="_Toc90339157"/>
      <w:r>
        <w:rPr>
          <w:rFonts w:hint="eastAsia" w:ascii="宋体" w:hAnsi="宋体"/>
          <w:sz w:val="21"/>
          <w:szCs w:val="21"/>
        </w:rPr>
        <w:t xml:space="preserve">图表 </w:t>
      </w:r>
      <w:r>
        <w:rPr>
          <w:rFonts w:ascii="宋体" w:hAnsi="宋体"/>
          <w:sz w:val="21"/>
          <w:szCs w:val="21"/>
        </w:rPr>
        <w:fldChar w:fldCharType="begin"/>
      </w:r>
      <w:r>
        <w:rPr>
          <w:rFonts w:ascii="宋体" w:hAnsi="宋体"/>
          <w:sz w:val="21"/>
          <w:szCs w:val="21"/>
        </w:rPr>
        <w:instrText xml:space="preserve"> </w:instrText>
      </w:r>
      <w:r>
        <w:rPr>
          <w:rFonts w:hint="eastAsia" w:ascii="宋体" w:hAnsi="宋体"/>
          <w:sz w:val="21"/>
          <w:szCs w:val="21"/>
        </w:rPr>
        <w:instrText xml:space="preserve">SEQ 图表 \* ARABIC</w:instrText>
      </w:r>
      <w:r>
        <w:rPr>
          <w:rFonts w:ascii="宋体" w:hAnsi="宋体"/>
          <w:sz w:val="21"/>
          <w:szCs w:val="21"/>
        </w:rPr>
        <w:instrText xml:space="preserve"> </w:instrText>
      </w:r>
      <w:r>
        <w:rPr>
          <w:rFonts w:ascii="宋体" w:hAnsi="宋体"/>
          <w:sz w:val="21"/>
          <w:szCs w:val="21"/>
        </w:rPr>
        <w:fldChar w:fldCharType="separate"/>
      </w:r>
      <w:r>
        <w:rPr>
          <w:rFonts w:ascii="宋体" w:hAnsi="宋体"/>
          <w:sz w:val="21"/>
          <w:szCs w:val="21"/>
        </w:rPr>
        <w:t>13</w:t>
      </w:r>
      <w:r>
        <w:rPr>
          <w:rFonts w:ascii="宋体" w:hAnsi="宋体"/>
          <w:sz w:val="21"/>
          <w:szCs w:val="21"/>
        </w:rPr>
        <w:fldChar w:fldCharType="end"/>
      </w:r>
      <w:r>
        <w:rPr>
          <w:rFonts w:ascii="宋体" w:hAnsi="宋体"/>
          <w:sz w:val="21"/>
          <w:szCs w:val="21"/>
        </w:rPr>
        <w:t xml:space="preserve"> </w:t>
      </w:r>
      <w:r>
        <w:rPr>
          <w:rFonts w:hint="eastAsia" w:ascii="宋体" w:hAnsi="宋体" w:cs="仿宋"/>
          <w:sz w:val="21"/>
          <w:szCs w:val="21"/>
        </w:rPr>
        <w:t>2013-2017年全国桑蚕茧成本收益情况</w:t>
      </w:r>
      <w:bookmarkEnd w:id="178"/>
    </w:p>
    <w:p>
      <w:pPr>
        <w:rPr>
          <w:rFonts w:ascii="仿宋" w:hAnsi="仿宋" w:eastAsia="仿宋" w:cs="仿宋"/>
          <w:color w:val="3B3B3B"/>
          <w:shd w:val="clear" w:color="auto" w:fill="FFFFFF"/>
        </w:rPr>
      </w:pPr>
    </w:p>
    <w:p>
      <w:pPr>
        <w:pStyle w:val="4"/>
      </w:pPr>
      <w:bookmarkStart w:id="179" w:name="_Toc90339064"/>
      <w:bookmarkStart w:id="180" w:name="_Toc24406"/>
      <w:bookmarkStart w:id="181" w:name="_Toc6355"/>
      <w:bookmarkStart w:id="182" w:name="_Toc4875"/>
      <w:bookmarkStart w:id="183" w:name="_Toc3366"/>
      <w:bookmarkStart w:id="184" w:name="_Toc20667"/>
      <w:r>
        <w:rPr>
          <w:rFonts w:hint="eastAsia"/>
        </w:rPr>
        <w:t>社会成因——新旧因素共同影响</w:t>
      </w:r>
      <w:bookmarkEnd w:id="179"/>
      <w:bookmarkEnd w:id="180"/>
      <w:bookmarkEnd w:id="181"/>
      <w:bookmarkEnd w:id="182"/>
      <w:bookmarkEnd w:id="183"/>
    </w:p>
    <w:p>
      <w:pPr>
        <w:pStyle w:val="37"/>
        <w:ind w:firstLine="560"/>
      </w:pPr>
      <w:r>
        <w:rPr>
          <w:rFonts w:hint="eastAsia"/>
        </w:rPr>
        <w:t>（1）历史背景</w:t>
      </w:r>
    </w:p>
    <w:p>
      <w:pPr>
        <w:pStyle w:val="37"/>
        <w:ind w:firstLine="560"/>
      </w:pPr>
      <w:r>
        <w:rPr>
          <w:rFonts w:hint="eastAsia"/>
        </w:rPr>
        <w:t>在漫漫历史长河中，中国蚕丝已深深地渗透到历代社会的诸多方面，蚕丝文化是汉文化的主体文化，与稻田文化一起标志着东亚农耕文明的成熟。对政治经济、社会组织、哲学宗教、文化艺术、生产生活等产生过重大影响，从而形成独具风格的桑蚕文化，成为中华浩瀚民族文化的重要内容。</w:t>
      </w:r>
    </w:p>
    <w:p>
      <w:pPr>
        <w:pStyle w:val="37"/>
        <w:ind w:firstLine="560"/>
      </w:pPr>
      <w:r>
        <w:rPr>
          <w:rFonts w:hint="eastAsia"/>
        </w:rPr>
        <w:t>中国作为世界上最早饲养家蚕、缫丝织绸的国家，华丽轻盈的丝绸早已成为了中华文明的重要载体，在世界历史中发挥着重要的作用。与此同时，千年前便让国人走向欧洲大陆的重要交通要道——丝绸之路也被国人重新启用。随着“一带一路”倡议的提出，丝绸相关产业成为当下热门，大批百姓积极响应国家政策开始重拾先人技艺，选择了个体桑蚕养殖行业，行业在此背景下近年来得到飞速发展。</w:t>
      </w:r>
    </w:p>
    <w:p>
      <w:pPr>
        <w:pStyle w:val="37"/>
        <w:ind w:firstLine="560"/>
      </w:pPr>
      <w:r>
        <w:rPr>
          <w:rFonts w:hint="eastAsia"/>
        </w:rPr>
        <w:t>（2）消费者心理</w:t>
      </w:r>
    </w:p>
    <w:p>
      <w:pPr>
        <w:pStyle w:val="37"/>
        <w:ind w:firstLine="560"/>
        <w:rPr>
          <w:rFonts w:hint="eastAsia"/>
        </w:rPr>
      </w:pPr>
      <w:r>
        <w:rPr>
          <w:rFonts w:hint="eastAsia"/>
        </w:rPr>
        <w:t>现阶段我国居民丝绸消费的行为特征概括为普遍化、品质化、平价化、网络化和弱品牌化，随着居民收入水平的不断提高, 消费者购买传统高端消费品的意愿增强，社会需求扩大使得丝绸和蚕桑文化不断成为旅游生态的核心品牌。</w:t>
      </w:r>
    </w:p>
    <w:p>
      <w:pPr>
        <w:pStyle w:val="4"/>
      </w:pPr>
      <w:bookmarkStart w:id="185" w:name="_Toc1216"/>
      <w:bookmarkStart w:id="186" w:name="_Toc90339065"/>
      <w:bookmarkStart w:id="187" w:name="_Toc27263"/>
      <w:bookmarkStart w:id="188" w:name="_Toc3575"/>
      <w:r>
        <w:rPr>
          <w:rFonts w:hint="eastAsia"/>
        </w:rPr>
        <w:t>技术筑基——智能化农业时代</w:t>
      </w:r>
      <w:bookmarkEnd w:id="184"/>
      <w:bookmarkEnd w:id="185"/>
      <w:bookmarkEnd w:id="186"/>
      <w:bookmarkEnd w:id="187"/>
      <w:bookmarkEnd w:id="188"/>
    </w:p>
    <w:p>
      <w:pPr>
        <w:pStyle w:val="37"/>
        <w:ind w:firstLine="560"/>
      </w:pPr>
      <w:r>
        <w:rPr>
          <w:rFonts w:hint="eastAsia"/>
        </w:rPr>
        <w:t>（1）数字化转型</w:t>
      </w:r>
    </w:p>
    <w:p>
      <w:pPr>
        <w:pStyle w:val="37"/>
        <w:ind w:firstLine="560"/>
        <w:rPr>
          <w:rFonts w:hint="eastAsia"/>
        </w:rPr>
      </w:pPr>
      <w:r>
        <w:rPr>
          <w:rFonts w:hint="eastAsia"/>
        </w:rPr>
        <w:t>在信息化时代的发展中，通过信息化的管理模式推进农业经济信息的全面建设，有利于农产品实现产业化经营、有利于农业转型、有利于提高农民的收入。随着网络信息技术的发展，各行业都开始向数字化转型，农业和个体养殖业也同样开始应用数字化技术。数字农业是将信息作为农业生产要素，用</w:t>
      </w:r>
      <w:r>
        <w:fldChar w:fldCharType="begin"/>
      </w:r>
      <w:r>
        <w:instrText xml:space="preserve"> HYPERLINK "https://baike.baidu.com/item/%E7%8E%B0%E4%BB%A3%E4%BF%A1%E6%81%AF%E6%8A%80%E6%9C%AF/2426261" \t "https://baike.baidu.com/item/%E6%95%B0%E5%AD%97%E5%86%9C%E4%B8%9A/_blank" </w:instrText>
      </w:r>
      <w:r>
        <w:fldChar w:fldCharType="separate"/>
      </w:r>
      <w:r>
        <w:rPr>
          <w:rFonts w:hint="eastAsia"/>
        </w:rPr>
        <w:t>现代信息技术</w:t>
      </w:r>
      <w:r>
        <w:rPr>
          <w:rFonts w:hint="eastAsia"/>
        </w:rPr>
        <w:fldChar w:fldCharType="end"/>
      </w:r>
      <w:r>
        <w:rPr>
          <w:rFonts w:hint="eastAsia"/>
        </w:rPr>
        <w:t>对农业对象、环境和全过程进行可视化表达、数字化设计、信息化管理的现代农业。数字农业使信息技术与农业各个环节实现有效融合，对改造传统农业、转变</w:t>
      </w:r>
      <w:r>
        <w:fldChar w:fldCharType="begin"/>
      </w:r>
      <w:r>
        <w:instrText xml:space="preserve"> HYPERLINK "https://baike.baidu.com/item/%E5%86%9C%E4%B8%9A%E7%94%9F%E4%BA%A7%E6%96%B9%E5%BC%8F/7942155" \t "https://baike.baidu.com/item/%E6%95%B0%E5%AD%97%E5%86%9C%E4%B8%9A/_blank" </w:instrText>
      </w:r>
      <w:r>
        <w:fldChar w:fldCharType="separate"/>
      </w:r>
      <w:r>
        <w:rPr>
          <w:rFonts w:hint="eastAsia"/>
        </w:rPr>
        <w:t>农业生产方式</w:t>
      </w:r>
      <w:r>
        <w:rPr>
          <w:rFonts w:hint="eastAsia"/>
        </w:rPr>
        <w:fldChar w:fldCharType="end"/>
      </w:r>
      <w:r>
        <w:rPr>
          <w:rFonts w:hint="eastAsia"/>
        </w:rPr>
        <w:t>具有重要意义。</w:t>
      </w:r>
    </w:p>
    <w:p>
      <w:pPr>
        <w:pStyle w:val="37"/>
        <w:ind w:firstLine="560"/>
      </w:pPr>
      <w:r>
        <w:rPr>
          <w:rFonts w:hint="eastAsia"/>
        </w:rPr>
        <w:t>（2）针对性创新</w:t>
      </w:r>
    </w:p>
    <w:p>
      <w:pPr>
        <w:pStyle w:val="37"/>
        <w:ind w:firstLine="560"/>
      </w:pPr>
      <w:r>
        <w:rPr>
          <w:rFonts w:hint="eastAsia"/>
        </w:rPr>
        <w:t>《Silk Mate》能够采集蚕的复杂生长环境和发育状态和病虫害的干扰进行监控和预测，本产品可以有效提高桑蚕产品质量、降低从业人员技术要求、减少重复劳动力使用降低生产成本，改善生态环境。</w:t>
      </w:r>
    </w:p>
    <w:p>
      <w:pPr>
        <w:pStyle w:val="3"/>
      </w:pPr>
      <w:bookmarkStart w:id="189" w:name="_Toc90339066"/>
      <w:bookmarkStart w:id="190" w:name="_Toc9707"/>
      <w:bookmarkStart w:id="191" w:name="_Toc2222"/>
      <w:bookmarkStart w:id="192" w:name="_Toc32146"/>
      <w:bookmarkStart w:id="193" w:name="_Toc19138"/>
      <w:bookmarkStart w:id="194" w:name="_Toc7212"/>
      <w:r>
        <w:rPr>
          <w:rFonts w:hint="eastAsia"/>
        </w:rPr>
        <w:t>产业环境优势分析</w:t>
      </w:r>
      <w:bookmarkEnd w:id="189"/>
      <w:bookmarkEnd w:id="190"/>
      <w:bookmarkEnd w:id="191"/>
      <w:bookmarkEnd w:id="192"/>
      <w:bookmarkEnd w:id="193"/>
      <w:bookmarkEnd w:id="194"/>
    </w:p>
    <w:p>
      <w:pPr>
        <w:pStyle w:val="4"/>
        <w:rPr>
          <w:shd w:val="clear" w:color="auto" w:fill="FFFFFF"/>
        </w:rPr>
      </w:pPr>
      <w:bookmarkStart w:id="195" w:name="_Toc6378"/>
      <w:bookmarkStart w:id="196" w:name="_Toc90339067"/>
      <w:bookmarkStart w:id="197" w:name="_Toc28199"/>
      <w:bookmarkStart w:id="198" w:name="_Toc21376"/>
      <w:bookmarkStart w:id="199" w:name="_Toc5871"/>
      <w:r>
        <w:rPr>
          <w:rFonts w:hint="eastAsia"/>
          <w:shd w:val="clear" w:color="auto" w:fill="FFFFFF"/>
        </w:rPr>
        <w:t>供应商——讨价还价能力弱</w:t>
      </w:r>
      <w:bookmarkEnd w:id="195"/>
      <w:bookmarkEnd w:id="196"/>
      <w:bookmarkEnd w:id="197"/>
      <w:bookmarkEnd w:id="198"/>
      <w:bookmarkEnd w:id="199"/>
    </w:p>
    <w:p>
      <w:pPr>
        <w:pStyle w:val="37"/>
        <w:ind w:firstLine="560"/>
      </w:pPr>
      <w:bookmarkStart w:id="200" w:name="_Hlk85817369"/>
      <w:r>
        <w:rPr>
          <w:rFonts w:hint="eastAsia"/>
        </w:rPr>
        <w:t>当前《Silk Mate》</w:t>
      </w:r>
      <w:bookmarkEnd w:id="200"/>
      <w:r>
        <w:rPr>
          <w:rFonts w:hint="eastAsia"/>
        </w:rPr>
        <w:t>的主要核心技术和核心数据均掌握在团队手中，主要的供应商是硬件供应商厂商和租赁服务供应商。本公司通常通过直接与供应商合作以及接受相关服务，并和供应商之间保持着密切的关系，供应商的设备需依托本公司的专利技术才能得以发挥独特作用。对于供应商而言，本公司是他们的重要客户，同时市面上符合本公司需求的供应商可供选择性较多，且供应商商品标准化较强差别不大，因此供应商议价能力弱。</w:t>
      </w:r>
    </w:p>
    <w:p>
      <w:pPr>
        <w:pStyle w:val="4"/>
        <w:rPr>
          <w:shd w:val="clear" w:color="auto" w:fill="FFFFFF"/>
        </w:rPr>
      </w:pPr>
      <w:bookmarkStart w:id="201" w:name="_Toc90339068"/>
      <w:bookmarkStart w:id="202" w:name="_Toc31652"/>
      <w:bookmarkStart w:id="203" w:name="_Toc11097"/>
      <w:bookmarkStart w:id="204" w:name="_Toc7062"/>
      <w:bookmarkStart w:id="205" w:name="_Toc1902"/>
      <w:r>
        <w:rPr>
          <w:rFonts w:hint="eastAsia"/>
          <w:shd w:val="clear" w:color="auto" w:fill="FFFFFF"/>
        </w:rPr>
        <w:t>购买者——达成较好的价格协商</w:t>
      </w:r>
      <w:bookmarkEnd w:id="201"/>
      <w:bookmarkEnd w:id="202"/>
      <w:bookmarkEnd w:id="203"/>
      <w:bookmarkEnd w:id="204"/>
      <w:bookmarkEnd w:id="205"/>
    </w:p>
    <w:p>
      <w:pPr>
        <w:pStyle w:val="37"/>
        <w:ind w:firstLine="560"/>
      </w:pPr>
      <w:r>
        <w:rPr>
          <w:rFonts w:hint="eastAsia"/>
        </w:rPr>
        <w:t>《Silk Mate》作为一种新型智能化农业生产产品，有自己的价格体系，本公司拥有产品的价格控制权，且本产品的技术先进，市场上目前没有相同的产品与之竞价，本公司预计可以与消费者达成较好的价格协商和平衡。同时本产品符合国家补贴养殖设备产品条件，量产后可申请列入农机购置补贴产品，种植户在购买时享有农业补助，增大了消费者购买力，刺激了本产品的消费需求。</w:t>
      </w:r>
    </w:p>
    <w:p>
      <w:pPr>
        <w:pStyle w:val="37"/>
        <w:ind w:firstLine="560"/>
      </w:pPr>
      <w:r>
        <w:rPr>
          <w:rFonts w:hint="eastAsia"/>
        </w:rPr>
        <w:t>《Silk Mate》主要消费人群是经营桑蚕养殖业的、对新技术接受度高、愿意接受数字化改革的国营和私营企业，当然也包括对个体蚕桑户的支持性折扣，并且经过市场调研和问卷分析，《Silk Mate》的产品价格是上述经营对象完全能承担和消费得起的，目前市场饱和度低，“供小于求”，消费者对价格的敏感度较低，本公司可以与消费者达成较为有利的价格协商。</w:t>
      </w:r>
    </w:p>
    <w:p>
      <w:pPr>
        <w:tabs>
          <w:tab w:val="left" w:pos="275"/>
        </w:tabs>
        <w:jc w:val="center"/>
        <w:rPr>
          <w:rFonts w:ascii="仿宋" w:hAnsi="仿宋" w:eastAsia="仿宋" w:cs="仿宋"/>
          <w:b/>
          <w:bCs/>
          <w:color w:val="333333"/>
          <w:shd w:val="clear" w:color="auto" w:fill="FFFFFF"/>
        </w:rPr>
      </w:pPr>
      <w:bookmarkStart w:id="206" w:name="_Toc8083"/>
      <w:bookmarkStart w:id="207" w:name="_Toc17515"/>
      <w:bookmarkStart w:id="208" w:name="_Toc19007"/>
      <w:r>
        <w:rPr>
          <w:rFonts w:ascii="宋体" w:hAnsi="宋体" w:cs="宋体"/>
        </w:rPr>
        <w:drawing>
          <wp:inline distT="0" distB="0" distL="114300" distR="114300">
            <wp:extent cx="4704715" cy="2815590"/>
            <wp:effectExtent l="0" t="0" r="4445" b="381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4704715" cy="2815590"/>
                    </a:xfrm>
                    <a:prstGeom prst="rect">
                      <a:avLst/>
                    </a:prstGeom>
                    <a:noFill/>
                    <a:ln w="9525">
                      <a:noFill/>
                    </a:ln>
                  </pic:spPr>
                </pic:pic>
              </a:graphicData>
            </a:graphic>
          </wp:inline>
        </w:drawing>
      </w:r>
    </w:p>
    <w:p>
      <w:pPr>
        <w:jc w:val="center"/>
        <w:rPr>
          <w:rFonts w:hint="eastAsia" w:ascii="仿宋" w:hAnsi="仿宋" w:eastAsia="仿宋" w:cs="仿宋"/>
          <w:b/>
          <w:bCs/>
          <w:color w:val="333333"/>
          <w:shd w:val="clear" w:color="auto" w:fill="FFFFFF"/>
        </w:rPr>
      </w:pPr>
      <w:bookmarkStart w:id="209" w:name="_Toc90339158"/>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14</w:t>
      </w:r>
      <w:bookmarkEnd w:id="209"/>
      <w:r>
        <w:fldChar w:fldCharType="end"/>
      </w:r>
    </w:p>
    <w:p>
      <w:pPr>
        <w:pStyle w:val="4"/>
        <w:rPr>
          <w:shd w:val="clear" w:color="auto" w:fill="FFFFFF"/>
        </w:rPr>
      </w:pPr>
      <w:bookmarkStart w:id="210" w:name="_Toc16188"/>
      <w:bookmarkStart w:id="211" w:name="_Toc90339069"/>
      <w:r>
        <w:rPr>
          <w:rFonts w:hint="eastAsia"/>
          <w:shd w:val="clear" w:color="auto" w:fill="FFFFFF"/>
        </w:rPr>
        <w:t>新进入者——进入壁垒难以突破</w:t>
      </w:r>
      <w:bookmarkEnd w:id="206"/>
      <w:bookmarkEnd w:id="207"/>
      <w:bookmarkEnd w:id="208"/>
      <w:bookmarkEnd w:id="210"/>
      <w:bookmarkEnd w:id="211"/>
    </w:p>
    <w:p>
      <w:pPr>
        <w:pStyle w:val="37"/>
        <w:ind w:firstLine="560"/>
      </w:pPr>
      <w:r>
        <w:rPr>
          <w:rFonts w:hint="eastAsia"/>
        </w:rPr>
        <w:t>新进入者的威胁的状况取决于进入障碍和原有企业的反击程度。《Silk Mate》作为传统产业中的创新型技术产品，目前市场上暂没有其他公司能在短期内能发明创造出类似产品，进入者难以破除进入障碍。本公司预计可能对新进入者展开强烈的反击行动，《Silk Mate》会充分利用在市场上逐渐形成的良好品牌效应和口碑优势，并包揽大量的、已能熟练使用的用户群，使新进入者无法大规模迁移用户也无法打开市场。并且《Silk Mate》已获得相关国家专利，收到国家相关专利权的保护，其他公司也不能随意复制和仿照本公司产品，使《Silk Mate》的产品在市场上具有独特性。《Silk Mate》的供应商体系、标准化合同、运营水平和资金流转以及良好的售后服务都形成了相对成本优势，行业进入壁垒极高。</w:t>
      </w:r>
    </w:p>
    <w:p>
      <w:pPr>
        <w:pStyle w:val="4"/>
        <w:rPr>
          <w:shd w:val="clear" w:color="auto" w:fill="FFFFFF"/>
        </w:rPr>
      </w:pPr>
      <w:bookmarkStart w:id="212" w:name="_Toc21830"/>
      <w:bookmarkStart w:id="213" w:name="_Toc30228"/>
      <w:bookmarkStart w:id="214" w:name="_Toc5209"/>
      <w:bookmarkStart w:id="215" w:name="_Toc90339070"/>
      <w:bookmarkStart w:id="216" w:name="_Toc6563"/>
      <w:r>
        <w:rPr>
          <w:rFonts w:hint="eastAsia"/>
          <w:shd w:val="clear" w:color="auto" w:fill="FFFFFF"/>
        </w:rPr>
        <w:t>替代品——威胁在初创阶段不强</w:t>
      </w:r>
      <w:bookmarkEnd w:id="212"/>
      <w:bookmarkEnd w:id="213"/>
      <w:bookmarkEnd w:id="214"/>
      <w:bookmarkEnd w:id="215"/>
      <w:bookmarkEnd w:id="216"/>
    </w:p>
    <w:p>
      <w:pPr>
        <w:pStyle w:val="37"/>
        <w:ind w:firstLine="560"/>
      </w:pPr>
      <w:r>
        <w:rPr>
          <w:rFonts w:hint="eastAsia"/>
        </w:rPr>
        <w:t>《Silk Mate》作为受国家专利权保护且对桑蚕养殖业的发展具有重大作用的产品，其在市场上的独特性是无法被替代的，本产品不仅能满足蚕桑发展数字化转型刚需，而且能帮助部分地方政府解决现阶段蚕桑养殖业发展困境。目前本产品正处于成长期，团队创新能力强且相当乐意对产品进行不断改进和完善的工作，暂无类似产品可替代本产品的功能效用和消费者需求，因此替代品的威胁程度低。</w:t>
      </w:r>
    </w:p>
    <w:p>
      <w:pPr>
        <w:pStyle w:val="4"/>
        <w:rPr>
          <w:shd w:val="clear" w:color="auto" w:fill="FFFFFF"/>
        </w:rPr>
      </w:pPr>
      <w:bookmarkStart w:id="217" w:name="_Toc90339071"/>
      <w:bookmarkStart w:id="218" w:name="_Toc26349"/>
      <w:bookmarkStart w:id="219" w:name="_Toc22699"/>
      <w:bookmarkStart w:id="220" w:name="_Toc16915"/>
      <w:bookmarkStart w:id="221" w:name="_Toc31110"/>
      <w:r>
        <w:rPr>
          <w:rFonts w:hint="eastAsia"/>
          <w:shd w:val="clear" w:color="auto" w:fill="FFFFFF"/>
        </w:rPr>
        <w:t>现有竞争者——行业空缺程度大</w:t>
      </w:r>
      <w:bookmarkEnd w:id="217"/>
      <w:bookmarkEnd w:id="218"/>
      <w:bookmarkEnd w:id="219"/>
      <w:bookmarkEnd w:id="220"/>
      <w:bookmarkEnd w:id="221"/>
    </w:p>
    <w:p>
      <w:pPr>
        <w:pStyle w:val="37"/>
        <w:ind w:firstLine="560"/>
      </w:pPr>
      <w:r>
        <w:rPr>
          <w:rFonts w:hint="eastAsia"/>
        </w:rPr>
        <w:t>在目前文化与社会问题错综复杂的背景下，《Silk Mate》为低效率的传统人工养殖蚕桑引入智能化设备和新型生产技术，利于提高劳动效率，降低劳动的人工成本，生产效益也可以随之提高。在蚕类养殖中引入智能设备不仅解放了大量生产力，与此同时也利于恢复国营蚕种场发展活力，扩大私营蚕桑企业市场规模，帮助个体养蚕种植户提高产量，并最终推动乡村蚕业养殖的发展，拉动乡村经济，响应国家关于乡村振兴的号召。且我国蚕业养殖智能化发展仍然有待创新完善，新型的蚕桑行业仍然处于成长期且速度较为缓慢，目前几乎没有依靠计算机视觉技术对蚕桑养殖进行针对性创新的产品和企业，市场缺少同类竞品，行业仍存在大量空白，市场前景与商机巨大。</w:t>
      </w:r>
    </w:p>
    <w:p>
      <w:pPr>
        <w:pStyle w:val="4"/>
        <w:rPr>
          <w:shd w:val="clear" w:color="auto" w:fill="FFFFFF"/>
        </w:rPr>
      </w:pPr>
      <w:bookmarkStart w:id="222" w:name="_Toc16285"/>
      <w:bookmarkStart w:id="223" w:name="_Toc19152"/>
      <w:bookmarkStart w:id="224" w:name="_Toc4062"/>
      <w:bookmarkStart w:id="225" w:name="_Toc21059"/>
      <w:bookmarkStart w:id="226" w:name="_Toc90339072"/>
      <w:r>
        <w:rPr>
          <w:rFonts w:hint="eastAsia"/>
          <w:shd w:val="clear" w:color="auto" w:fill="FFFFFF"/>
        </w:rPr>
        <w:t>互补动力——捆绑销售推广</w:t>
      </w:r>
      <w:bookmarkEnd w:id="222"/>
      <w:bookmarkEnd w:id="223"/>
      <w:bookmarkEnd w:id="224"/>
      <w:bookmarkEnd w:id="225"/>
      <w:bookmarkEnd w:id="226"/>
    </w:p>
    <w:p>
      <w:pPr>
        <w:pStyle w:val="37"/>
        <w:ind w:firstLine="560"/>
      </w:pPr>
      <w:r>
        <w:rPr>
          <w:rFonts w:hint="eastAsia"/>
        </w:rPr>
        <w:t>《Silk Mate》作为一项蚕桑产业智能化转型的辅助产品，如果单纯直接面向市场进行推广销售可能竞争力不强，可以通过去中心化,以用户思维为主体,将产品推广销售下沉到每一个客户，确立无数个以客户为主体的中心,使每个消费者成为本公司产品的推广者。也就是说，通过消费者对本产品的使用将本产品与消费者原本业务捆绑，继续进行二级推广，层层铺开，形成蚕桑企业与本公司的互补动力，达成长期合作以求双赢局面。</w:t>
      </w:r>
    </w:p>
    <w:p>
      <w:pPr>
        <w:ind w:firstLine="380"/>
        <w:rPr>
          <w:rFonts w:ascii="仿宋" w:hAnsi="仿宋" w:eastAsia="仿宋" w:cs="仿宋"/>
          <w:color w:val="3B3B3B"/>
          <w:shd w:val="clear" w:color="auto" w:fill="FFFFFF"/>
        </w:rPr>
      </w:pPr>
      <w:r>
        <w:rPr>
          <w:rFonts w:ascii="宋体" w:hAnsi="宋体" w:cs="宋体"/>
        </w:rPr>
        <w:drawing>
          <wp:inline distT="0" distB="0" distL="114300" distR="114300">
            <wp:extent cx="4553585" cy="2822575"/>
            <wp:effectExtent l="0" t="0" r="3175" b="1206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28"/>
                    <a:stretch>
                      <a:fillRect/>
                    </a:stretch>
                  </pic:blipFill>
                  <pic:spPr>
                    <a:xfrm>
                      <a:off x="0" y="0"/>
                      <a:ext cx="4553585" cy="2822575"/>
                    </a:xfrm>
                    <a:prstGeom prst="rect">
                      <a:avLst/>
                    </a:prstGeom>
                    <a:noFill/>
                    <a:ln w="9525">
                      <a:noFill/>
                    </a:ln>
                  </pic:spPr>
                </pic:pic>
              </a:graphicData>
            </a:graphic>
          </wp:inline>
        </w:drawing>
      </w:r>
    </w:p>
    <w:p>
      <w:pPr>
        <w:jc w:val="center"/>
        <w:rPr>
          <w:rFonts w:hint="eastAsia" w:ascii="仿宋" w:hAnsi="仿宋" w:eastAsia="仿宋" w:cs="仿宋"/>
          <w:color w:val="3B3B3B"/>
          <w:shd w:val="clear" w:color="auto" w:fill="FFFFFF"/>
        </w:rPr>
      </w:pPr>
      <w:bookmarkStart w:id="227" w:name="_Toc90339159"/>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15</w:t>
      </w:r>
      <w:bookmarkEnd w:id="227"/>
      <w:r>
        <w:fldChar w:fldCharType="end"/>
      </w:r>
    </w:p>
    <w:p>
      <w:pPr>
        <w:pStyle w:val="3"/>
      </w:pPr>
      <w:bookmarkStart w:id="228" w:name="_Toc10381"/>
      <w:bookmarkStart w:id="229" w:name="_Toc90339073"/>
      <w:bookmarkStart w:id="230" w:name="_Toc23447"/>
      <w:bookmarkStart w:id="231" w:name="_Toc24814"/>
      <w:bookmarkStart w:id="232" w:name="_Toc6367"/>
      <w:r>
        <w:rPr>
          <w:rFonts w:hint="eastAsia"/>
        </w:rPr>
        <w:t>目标市场</w:t>
      </w:r>
      <w:bookmarkEnd w:id="228"/>
      <w:bookmarkEnd w:id="229"/>
      <w:bookmarkEnd w:id="230"/>
      <w:bookmarkEnd w:id="231"/>
      <w:bookmarkEnd w:id="232"/>
    </w:p>
    <w:p>
      <w:pPr>
        <w:pStyle w:val="4"/>
      </w:pPr>
      <w:bookmarkStart w:id="233" w:name="_Toc16489"/>
      <w:bookmarkStart w:id="234" w:name="_Toc90339074"/>
      <w:bookmarkStart w:id="235" w:name="_Toc10896"/>
      <w:bookmarkStart w:id="236" w:name="_Toc7782"/>
      <w:bookmarkStart w:id="237" w:name="_Toc12608"/>
      <w:r>
        <w:rPr>
          <w:rFonts w:hint="eastAsia"/>
        </w:rPr>
        <w:t>市场细分——产品消费者群体市场</w:t>
      </w:r>
      <w:bookmarkEnd w:id="233"/>
      <w:bookmarkEnd w:id="234"/>
      <w:bookmarkEnd w:id="235"/>
      <w:bookmarkEnd w:id="236"/>
      <w:bookmarkEnd w:id="237"/>
    </w:p>
    <w:p>
      <w:pPr>
        <w:pStyle w:val="37"/>
        <w:ind w:firstLine="560"/>
      </w:pPr>
      <w:r>
        <w:rPr>
          <w:rFonts w:hint="eastAsia"/>
        </w:rPr>
        <w:t>我国蚕桑生产历史悠久，目前蚕桑的规模化集约化生产已取得了一定成效，生产基地规模日益扩大，产业综合效益不断提升。随着国家蚕桑产业“东桑西移”战略的实施，我国蚕桑生产区域逐步由东部工业发达区域向西部农业区域转移。</w:t>
      </w:r>
    </w:p>
    <w:p>
      <w:pPr>
        <w:pStyle w:val="37"/>
        <w:ind w:firstLine="560"/>
      </w:pPr>
      <w:r>
        <w:rPr>
          <w:rFonts w:hint="eastAsia"/>
        </w:rPr>
        <w:t>江苏、四川、广西、云南、浙江、山东是中国六大主要蚕区，四川、江苏一直位于高产量区，安徽、山东、浙江先后于2000、2010、2018年退出高产量区，广西、云南2010年升至高产量区，蚕区整体呈现“东桑西移”。</w:t>
      </w:r>
    </w:p>
    <w:p>
      <w:pPr>
        <w:pStyle w:val="37"/>
        <w:ind w:firstLine="560"/>
        <w:rPr>
          <w:rFonts w:hint="eastAsia"/>
        </w:rPr>
      </w:pPr>
    </w:p>
    <w:p>
      <w:pPr>
        <w:ind w:firstLine="480" w:firstLineChars="200"/>
        <w:jc w:val="center"/>
        <w:rPr>
          <w:rFonts w:ascii="仿宋" w:hAnsi="仿宋" w:eastAsia="仿宋" w:cs="仿宋"/>
        </w:rPr>
      </w:pPr>
      <w:r>
        <w:rPr>
          <w:rFonts w:hint="eastAsia" w:ascii="仿宋" w:hAnsi="仿宋" w:eastAsia="仿宋" w:cs="仿宋"/>
        </w:rPr>
        <w:drawing>
          <wp:inline distT="0" distB="0" distL="114300" distR="114300">
            <wp:extent cx="3900170" cy="1937385"/>
            <wp:effectExtent l="0" t="0" r="12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9"/>
                    <a:stretch>
                      <a:fillRect/>
                    </a:stretch>
                  </pic:blipFill>
                  <pic:spPr>
                    <a:xfrm>
                      <a:off x="0" y="0"/>
                      <a:ext cx="3900170" cy="1937385"/>
                    </a:xfrm>
                    <a:prstGeom prst="rect">
                      <a:avLst/>
                    </a:prstGeom>
                  </pic:spPr>
                </pic:pic>
              </a:graphicData>
            </a:graphic>
          </wp:inline>
        </w:drawing>
      </w:r>
    </w:p>
    <w:p>
      <w:pPr>
        <w:keepNext/>
        <w:jc w:val="center"/>
      </w:pPr>
      <w:r>
        <w:rPr>
          <w:rFonts w:hint="eastAsia" w:ascii="仿宋" w:hAnsi="仿宋" w:eastAsia="仿宋" w:cs="仿宋"/>
        </w:rPr>
        <w:t xml:space="preserve">图X </w:t>
      </w:r>
    </w:p>
    <w:p>
      <w:pPr>
        <w:jc w:val="center"/>
        <w:rPr>
          <w:rFonts w:ascii="Arial" w:hAnsi="Arial" w:eastAsia="黑体"/>
          <w:sz w:val="20"/>
        </w:rPr>
      </w:pPr>
      <w:bookmarkStart w:id="238" w:name="_Toc90339160"/>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16</w:t>
      </w:r>
      <w:r>
        <w:fldChar w:fldCharType="end"/>
      </w:r>
      <w:r>
        <w:rPr>
          <w:rFonts w:ascii="宋体" w:hAnsi="宋体"/>
          <w:sz w:val="21"/>
          <w:szCs w:val="21"/>
        </w:rPr>
        <w:t xml:space="preserve"> </w:t>
      </w:r>
      <w:r>
        <w:rPr>
          <w:rFonts w:hint="eastAsia" w:ascii="宋体" w:hAnsi="宋体" w:cs="仿宋"/>
          <w:sz w:val="21"/>
          <w:szCs w:val="21"/>
        </w:rPr>
        <w:t>1950—2015年我国6大蚕区蚕茧产量走势图</w:t>
      </w:r>
      <w:bookmarkEnd w:id="238"/>
    </w:p>
    <w:p>
      <w:pPr>
        <w:rPr>
          <w:rFonts w:hint="eastAsia"/>
        </w:rPr>
      </w:pPr>
    </w:p>
    <w:p>
      <w:pPr>
        <w:pStyle w:val="37"/>
        <w:ind w:firstLine="560"/>
      </w:pPr>
      <w:r>
        <w:rPr>
          <w:rFonts w:hint="eastAsia"/>
        </w:rPr>
        <w:t>1950年以来我国这6大蚕区蚕茧产量走势图（图3）显示，这个指标的走势与桑园面积，蚕种发放量的走势存在差异，尽管四川（含重庆）、江苏、浙江蚕区的蚕茧产量与桑园面积、蚕种发放量保持一致，在1995年达到最高峰，随后广西的蚕茧产量异军突起，呈现一路高涨的态势。广西省的蚕桑市场扩张迅速，急需科学的智能软硬件来帮助蚕农提高蚕桑产量。</w:t>
      </w:r>
    </w:p>
    <w:p>
      <w:pPr>
        <w:pStyle w:val="37"/>
        <w:ind w:firstLine="560"/>
        <w:rPr>
          <w:rFonts w:hint="eastAsia" w:ascii="仿宋" w:hAnsi="仿宋" w:eastAsia="仿宋" w:cs="仿宋"/>
        </w:rPr>
      </w:pPr>
      <w:r>
        <w:rPr>
          <w:rFonts w:hint="eastAsia"/>
        </w:rPr>
        <w:t>基于上述原因，根据消费者群体市场定理，大致可以将市场分为如下三个市场：</w:t>
      </w:r>
    </w:p>
    <w:p>
      <w:pPr>
        <w:ind w:firstLine="720" w:firstLineChars="300"/>
        <w:jc w:val="both"/>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4488180" cy="3053715"/>
            <wp:effectExtent l="0" t="0" r="0" b="0"/>
            <wp:docPr id="28" name="图片 28"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文件(2)"/>
                    <pic:cNvPicPr>
                      <a:picLocks noChangeAspect="1"/>
                    </pic:cNvPicPr>
                  </pic:nvPicPr>
                  <pic:blipFill>
                    <a:blip r:embed="rId30"/>
                    <a:stretch>
                      <a:fillRect/>
                    </a:stretch>
                  </pic:blipFill>
                  <pic:spPr>
                    <a:xfrm>
                      <a:off x="0" y="0"/>
                      <a:ext cx="4488180" cy="3053715"/>
                    </a:xfrm>
                    <a:prstGeom prst="rect">
                      <a:avLst/>
                    </a:prstGeom>
                  </pic:spPr>
                </pic:pic>
              </a:graphicData>
            </a:graphic>
          </wp:inline>
        </w:drawing>
      </w:r>
    </w:p>
    <w:p>
      <w:pPr>
        <w:jc w:val="center"/>
        <w:rPr>
          <w:rFonts w:hint="eastAsia" w:ascii="仿宋" w:hAnsi="仿宋" w:eastAsia="仿宋" w:cs="仿宋"/>
        </w:rPr>
      </w:pPr>
      <w:bookmarkStart w:id="239" w:name="_Toc90339161"/>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17</w:t>
      </w:r>
      <w:r>
        <w:fldChar w:fldCharType="end"/>
      </w:r>
      <w:r>
        <w:t xml:space="preserve"> </w:t>
      </w:r>
      <w:r>
        <w:rPr>
          <w:rFonts w:hint="eastAsia" w:ascii="宋体" w:hAnsi="宋体"/>
          <w:sz w:val="21"/>
          <w:szCs w:val="21"/>
        </w:rPr>
        <w:t>市场细分</w:t>
      </w:r>
      <w:bookmarkEnd w:id="239"/>
    </w:p>
    <w:p>
      <w:pPr>
        <w:pStyle w:val="37"/>
        <w:ind w:firstLine="560"/>
        <w:rPr>
          <w:rFonts w:hint="eastAsia"/>
        </w:rPr>
      </w:pPr>
    </w:p>
    <w:p>
      <w:pPr>
        <w:pStyle w:val="37"/>
        <w:ind w:firstLine="560"/>
      </w:pPr>
      <w:r>
        <w:rPr>
          <w:rFonts w:hint="eastAsia"/>
        </w:rPr>
        <w:t>（1）东部高端销售市场</w:t>
      </w:r>
    </w:p>
    <w:p>
      <w:pPr>
        <w:pStyle w:val="37"/>
        <w:ind w:firstLine="560"/>
      </w:pPr>
      <w:r>
        <w:rPr>
          <w:rFonts w:hint="eastAsia"/>
        </w:rPr>
        <w:t>东部地区近年来蚕桑产量有所下降，个体农户养蚕比例大幅度下跌，且由于东部地区经济发达，科技发展迅速，各私营蚕桑企业以及国营蚕种场基本都已拥有自己研发的一整套培育蚕种和生产蚕桑制品的完整生产线，对本公司初期产品的需求度不高，不适合作为本公司成长阶段产品推广的主要地区，而适用于本公司成熟阶段产品软硬件配套设施完善时的普及地区，因此将东部地区（包括浙江、江苏和广东蚕区）定义为高端产品市场。</w:t>
      </w:r>
    </w:p>
    <w:p>
      <w:pPr>
        <w:pStyle w:val="37"/>
        <w:ind w:firstLine="560"/>
      </w:pPr>
      <w:r>
        <w:rPr>
          <w:rFonts w:hint="eastAsia"/>
        </w:rPr>
        <w:t>（2）西部低端销售市场</w:t>
      </w:r>
    </w:p>
    <w:p>
      <w:pPr>
        <w:pStyle w:val="37"/>
        <w:ind w:firstLine="560"/>
      </w:pPr>
      <w:r>
        <w:rPr>
          <w:rFonts w:hint="eastAsia"/>
        </w:rPr>
        <w:t>西部地区由于国家“东桑西移”政蚕桑产量较东部地区更高，且由于西部地区经济较为落后，科技不发达，农业占经济发展比重大，蚕桑产业受到普通农户和地方政府重视，当地政府需要与掌握智能蚕桑技术的企业进行合作，甚至急需引进先进技术提高蚕桑制品的产量和质量并同时拓宽销售渠道，此种需求与本公司成长期研发产品的相匹配，因此将西部地区（包括四川、重庆、云南蚕区）定义为低端产品市场。</w:t>
      </w:r>
    </w:p>
    <w:p>
      <w:pPr>
        <w:pStyle w:val="37"/>
        <w:ind w:firstLine="560"/>
      </w:pPr>
      <w:r>
        <w:rPr>
          <w:rFonts w:hint="eastAsia"/>
        </w:rPr>
        <w:t>（3）广西全面销售市场</w:t>
      </w:r>
    </w:p>
    <w:p>
      <w:pPr>
        <w:pStyle w:val="37"/>
        <w:ind w:firstLine="560"/>
      </w:pPr>
      <w:r>
        <w:rPr>
          <w:rFonts w:hint="eastAsia"/>
        </w:rPr>
        <w:t>据图X可得，广西蚕区自2010年以来逐渐成为中国蚕桑生产的主力产区，蚕桑产业发展潜力巨大，蚕种发种量以及桑园面积也位列全国六大蚕区的第一。另一方面，广西地区经济不发达，科学技术发展落后，蚕农以及蚕桑企业生产人员普遍文化水平不高，需要接受科学的养蚕知识，也需要启用智能的养蚕设备，不仅能作为本公司成长阶段研发产品的试点，还可以作为本公司后续产品研发的大面积推广地，因此将广西蚕区单独列为全面销售市场。</w:t>
      </w:r>
    </w:p>
    <w:p>
      <w:pPr>
        <w:ind w:left="840" w:firstLine="480" w:firstLineChars="200"/>
        <w:jc w:val="both"/>
        <w:rPr>
          <w:rFonts w:ascii="仿宋" w:hAnsi="仿宋" w:eastAsia="仿宋" w:cs="仿宋"/>
          <w:color w:val="3B3B3B"/>
          <w:shd w:val="clear" w:color="auto" w:fill="FFFFFF"/>
        </w:rPr>
      </w:pPr>
      <w:r>
        <w:rPr>
          <w:rFonts w:hint="eastAsia" w:ascii="仿宋" w:hAnsi="仿宋" w:eastAsia="仿宋" w:cs="仿宋"/>
          <w:color w:val="3B3B3B"/>
          <w:shd w:val="clear" w:color="auto" w:fill="FFFFFF"/>
        </w:rPr>
        <w:drawing>
          <wp:inline distT="0" distB="0" distL="114300" distR="114300">
            <wp:extent cx="4201795" cy="2818130"/>
            <wp:effectExtent l="0" t="0" r="4445" b="0"/>
            <wp:docPr id="4" name="图片 4" descr="hhhhh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hhhhhhhh"/>
                    <pic:cNvPicPr>
                      <a:picLocks noChangeAspect="1"/>
                    </pic:cNvPicPr>
                  </pic:nvPicPr>
                  <pic:blipFill>
                    <a:blip r:embed="rId31"/>
                    <a:stretch>
                      <a:fillRect/>
                    </a:stretch>
                  </pic:blipFill>
                  <pic:spPr>
                    <a:xfrm>
                      <a:off x="0" y="0"/>
                      <a:ext cx="4201795" cy="2818130"/>
                    </a:xfrm>
                    <a:prstGeom prst="rect">
                      <a:avLst/>
                    </a:prstGeom>
                  </pic:spPr>
                </pic:pic>
              </a:graphicData>
            </a:graphic>
          </wp:inline>
        </w:drawing>
      </w:r>
    </w:p>
    <w:p>
      <w:pPr>
        <w:jc w:val="center"/>
        <w:rPr>
          <w:rFonts w:ascii="仿宋" w:hAnsi="仿宋" w:eastAsia="仿宋" w:cs="仿宋"/>
          <w:color w:val="3B3B3B"/>
          <w:shd w:val="clear" w:color="auto" w:fill="FFFFFF"/>
        </w:rPr>
      </w:pPr>
      <w:bookmarkStart w:id="240" w:name="_Toc90339162"/>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18</w:t>
      </w:r>
      <w:r>
        <w:fldChar w:fldCharType="end"/>
      </w:r>
      <w:r>
        <w:rPr>
          <w:rFonts w:hint="eastAsia" w:ascii="宋体" w:hAnsi="宋体" w:cs="仿宋"/>
          <w:color w:val="3B3B3B"/>
          <w:sz w:val="21"/>
          <w:szCs w:val="21"/>
          <w:shd w:val="clear" w:color="auto" w:fill="FFFFFF"/>
        </w:rPr>
        <w:t>各省蚕桑产量图</w:t>
      </w:r>
      <w:bookmarkEnd w:id="240"/>
    </w:p>
    <w:p>
      <w:pPr>
        <w:pStyle w:val="4"/>
      </w:pPr>
      <w:bookmarkStart w:id="241" w:name="_Toc13871"/>
      <w:bookmarkStart w:id="242" w:name="_Toc9166"/>
      <w:bookmarkStart w:id="243" w:name="_Toc14116"/>
      <w:bookmarkStart w:id="244" w:name="_Toc15653"/>
      <w:bookmarkStart w:id="245" w:name="_Toc90339075"/>
      <w:r>
        <w:rPr>
          <w:rFonts w:hint="eastAsia"/>
        </w:rPr>
        <w:t>目标市场</w:t>
      </w:r>
      <w:bookmarkEnd w:id="241"/>
      <w:bookmarkEnd w:id="242"/>
      <w:bookmarkEnd w:id="243"/>
      <w:bookmarkEnd w:id="244"/>
      <w:bookmarkEnd w:id="245"/>
    </w:p>
    <w:p>
      <w:pPr>
        <w:pStyle w:val="37"/>
        <w:ind w:firstLine="560"/>
      </w:pPr>
      <w:r>
        <w:rPr>
          <w:rFonts w:hint="eastAsia"/>
        </w:rPr>
        <w:t>选择目标市场，明确企业应为哪一类用户服务，满足他们的哪一种需求，是企业在营销活动中的一项重要策略。</w:t>
      </w:r>
    </w:p>
    <w:p>
      <w:pPr>
        <w:pStyle w:val="37"/>
        <w:ind w:firstLine="560"/>
      </w:pPr>
      <w:r>
        <w:rPr>
          <w:rFonts w:hint="eastAsia"/>
        </w:rPr>
        <w:t>结合市场调研数据分析，我们公司现在仍处于初期发展阶段，因此我们将西部地区即西部低端销售市场作为初期产品的主推广区，并将广西地区即广西全面销售市场作为产品研发的试点地区和重点销售地区；而东部地区即东部高端市场则预计成为本公司成熟期的主力市场。</w:t>
      </w:r>
    </w:p>
    <w:p>
      <w:pPr>
        <w:pStyle w:val="4"/>
        <w:rPr>
          <w:color w:val="3B3B3B"/>
          <w:shd w:val="clear" w:color="auto" w:fill="FFFFFF"/>
        </w:rPr>
      </w:pPr>
      <w:bookmarkStart w:id="246" w:name="_Toc90339076"/>
      <w:bookmarkStart w:id="247" w:name="_Toc8423"/>
      <w:bookmarkStart w:id="248" w:name="_Toc1873"/>
      <w:bookmarkStart w:id="249" w:name="_Toc31703"/>
      <w:bookmarkStart w:id="250" w:name="_Toc15728"/>
      <w:r>
        <w:rPr>
          <w:rFonts w:hint="eastAsia"/>
        </w:rPr>
        <w:t>市场定位</w:t>
      </w:r>
      <w:bookmarkEnd w:id="246"/>
      <w:bookmarkEnd w:id="247"/>
      <w:bookmarkEnd w:id="248"/>
      <w:bookmarkEnd w:id="249"/>
      <w:bookmarkEnd w:id="250"/>
    </w:p>
    <w:p>
      <w:pPr>
        <w:pStyle w:val="37"/>
        <w:ind w:firstLine="560"/>
      </w:pPr>
      <w:r>
        <w:rPr>
          <w:rFonts w:hint="eastAsia"/>
        </w:rPr>
        <w:t>本产品的四大创新点为：AIOT与Jetson Nano、神经网络优化、实时环境监测系统、农业与信息技术结合。</w:t>
      </w:r>
    </w:p>
    <w:p>
      <w:pPr>
        <w:pStyle w:val="37"/>
        <w:ind w:firstLine="560"/>
      </w:pPr>
      <w:r>
        <w:rPr>
          <w:rFonts w:hint="eastAsia"/>
        </w:rPr>
        <w:t xml:space="preserve">本项目不仅计划完成系统来对蚕不同形态的识别，还要实现从形态到不同生长状态以及阶段的过渡，最后根据识别结果对蚕的养殖环境进行改变，三种功能高度集成在以jetson nano为核心的系统上。与此同时，蚕的养殖需要将温度和湿度分别维持24摄氏度左右和40%左右，且蚕不同阶段所需的温度和湿度、喂食桑叶的大小和时间不同，而本系统以桑蚕养殖技术理论为依据对不同的识别结果给出不同的温度、湿度、饲料等的环境适配方案，以达到养殖效益最大化的结果。除运行深度学习模型之外，Jetson Nano 还是性能良好的嵌入式开发平台。除了上述方案，养蚕的环境条件控制可以灵活多变，可以根据用户的需求进行调整，甚至可以实现用户自定义功能。 </w:t>
      </w:r>
    </w:p>
    <w:p>
      <w:pPr>
        <w:pStyle w:val="37"/>
        <w:ind w:firstLine="560"/>
      </w:pPr>
      <w:r>
        <w:rPr>
          <w:rFonts w:hint="eastAsia"/>
        </w:rPr>
        <w:t xml:space="preserve">传统AIoT采用传感器传输数据至云端服务器，由高性能服务器处理数据后再反馈到用户端。但是，这种方式需要算力充沛且强大的算力中心，对通信模组也有较高要求，它不仅成本高昂且模型难以部署，这便使得传统AIoT更适合在实验室或工业环境中使用，而难以走进普通人生活。而本项目采用边缘计算的AIoT模式，以搭载SOC系统级芯片的JetsonNano作为边缘算力中心，将实时的通过深度学习模型进行计算机视觉和推理。同时，由于由边缘设备进行算法处理，也进一步减小了通信压力，普通人有更多接触人工智能边缘设备的可能。此外，本项目使用独立开发的一款简洁的微信小程序为人机交互平台，使产品更亲民，易于使用。 </w:t>
      </w:r>
    </w:p>
    <w:p>
      <w:pPr>
        <w:pStyle w:val="37"/>
        <w:ind w:firstLine="560"/>
      </w:pPr>
      <w:r>
        <w:rPr>
          <w:rFonts w:hint="eastAsia"/>
        </w:rPr>
        <w:t>我们的项目充分利用Jetson nano资源，对蚕的状态进行识别，对病虫害进行辅助识别，通过卷积神经网络应用，将环境因素（如温度、湿度、二氧化碳浓度）传入对分布在各场景下的环境因子、典型特征、变化幅度等动态数据进行综合分析，同时对图片进行降噪处理，为管理流程的优化、管理效率的提高提供了新的内生动力。</w:t>
      </w:r>
    </w:p>
    <w:p>
      <w:pPr>
        <w:pStyle w:val="37"/>
        <w:ind w:firstLine="560"/>
        <w:rPr>
          <w:rFonts w:hint="eastAsia"/>
        </w:rPr>
      </w:pPr>
      <w:r>
        <w:rPr>
          <w:rFonts w:hint="eastAsia"/>
        </w:rPr>
        <w:t>因此，《Silk Mate》的成长期产品将向急需智能养蚕技术的个体农户或农村合作社出售，而成熟期产品则将向需要进一步升级原有智能养蚕技术的国营及私营蚕桑企业出售。</w:t>
      </w:r>
    </w:p>
    <w:p>
      <w:pPr>
        <w:pStyle w:val="3"/>
      </w:pPr>
      <w:bookmarkStart w:id="251" w:name="_Toc8319"/>
      <w:bookmarkStart w:id="252" w:name="_Toc4731"/>
      <w:bookmarkStart w:id="253" w:name="_Toc90339077"/>
      <w:bookmarkStart w:id="254" w:name="_Toc19910"/>
      <w:bookmarkStart w:id="255" w:name="_Toc15060"/>
      <w:r>
        <w:rPr>
          <w:rFonts w:hint="eastAsia"/>
        </w:rPr>
        <w:t>竞争市场与市场需求</w:t>
      </w:r>
      <w:bookmarkEnd w:id="251"/>
      <w:bookmarkEnd w:id="252"/>
      <w:bookmarkEnd w:id="253"/>
      <w:bookmarkEnd w:id="254"/>
      <w:bookmarkEnd w:id="255"/>
    </w:p>
    <w:p>
      <w:pPr>
        <w:pStyle w:val="4"/>
      </w:pPr>
      <w:bookmarkStart w:id="256" w:name="_Toc18755"/>
      <w:bookmarkStart w:id="257" w:name="_Toc4280"/>
      <w:bookmarkStart w:id="258" w:name="_Toc26581"/>
      <w:bookmarkStart w:id="259" w:name="_Toc13697"/>
      <w:bookmarkStart w:id="260" w:name="_Toc90339078"/>
      <w:r>
        <w:rPr>
          <w:rFonts w:hint="eastAsia"/>
        </w:rPr>
        <w:t>竞争市场——填补空白</w:t>
      </w:r>
      <w:bookmarkEnd w:id="256"/>
      <w:bookmarkEnd w:id="257"/>
      <w:bookmarkEnd w:id="258"/>
      <w:bookmarkEnd w:id="259"/>
      <w:bookmarkEnd w:id="260"/>
    </w:p>
    <w:p>
      <w:pPr>
        <w:pStyle w:val="37"/>
        <w:ind w:firstLine="560"/>
      </w:pPr>
      <w:r>
        <w:rPr>
          <w:rFonts w:hint="eastAsia"/>
        </w:rPr>
        <w:t>本产品存在的市场目前属于不完全竞争市场中的寡头垄断市场，在寡头垄断市场上，只有少数几家厂商供给该行业全部或大部分产品，每个厂家的产量占市场总量的相当份额，对市场价格和产量有举足轻重的影响。</w:t>
      </w:r>
    </w:p>
    <w:p>
      <w:pPr>
        <w:pStyle w:val="37"/>
        <w:ind w:firstLine="560"/>
      </w:pPr>
      <w:r>
        <w:rPr>
          <w:rFonts w:hint="eastAsia"/>
        </w:rPr>
        <w:t>中国丝绸有着极为悠久的历史，它伴随着华夏文明的发展。在世界上中国丝绸极具盛名，来自中国的丝绸制品大量出口至世界各地。伴随着丝绸制品的巨大需求桑蚕养殖业也随之蓬勃发展，未来市场仍将持续扩大。</w:t>
      </w:r>
    </w:p>
    <w:p>
      <w:pPr>
        <w:pStyle w:val="37"/>
        <w:ind w:firstLine="560"/>
      </w:pPr>
      <w:r>
        <w:rPr>
          <w:rFonts w:hint="eastAsia"/>
        </w:rPr>
        <w:t>随着“一带一路”的不断建设和脱贫攻坚战的完美收官，产生了一批以养蚕为基础产业的特色养殖类基地，并且在国家政策的大力扶持下逐步形成了较为完善的产业链条。</w:t>
      </w:r>
    </w:p>
    <w:p>
      <w:pPr>
        <w:pStyle w:val="37"/>
        <w:ind w:firstLine="560"/>
      </w:pPr>
      <w:r>
        <w:rPr>
          <w:rFonts w:hint="eastAsia"/>
        </w:rPr>
        <w:t>如今我国国力强盛，科学技术发展迅猛，低本钱自动化LCA(LowCostAutomation)开始出现，并在大多数国家得到了很好的推广应用。近年来中国自动化开展程度正不断加快，自动化工厂也随之产生并应用于各行各业，生产链条的智能化自动化不仅可以提高生产效率，降低生产成本，并且可以减少人力资源的应用，促进人才再整合进而实现行业内人力资源结构再升级。桑蚕养殖智能化机械产品尚未走进实际生产链条。该类市场处于空白阶段，市场容量巨大。且我们的产品将AIOT与Jetson Nano、神经网络优化、实时环境监测系统、农业与信息技术等技术结合，目前市场暂没有同类使用上述技术的竞争者，我们的产品拥有独特的优势与很强的竞争力。</w:t>
      </w:r>
    </w:p>
    <w:p>
      <w:pPr>
        <w:pStyle w:val="4"/>
      </w:pPr>
      <w:bookmarkStart w:id="261" w:name="_Toc90339079"/>
      <w:bookmarkStart w:id="262" w:name="_Toc9345"/>
      <w:bookmarkStart w:id="263" w:name="_Toc9172"/>
      <w:bookmarkStart w:id="264" w:name="_Toc4554"/>
      <w:bookmarkStart w:id="265" w:name="_Toc31804"/>
      <w:r>
        <w:rPr>
          <w:rFonts w:hint="eastAsia"/>
        </w:rPr>
        <w:t>市场需求——必然趋势</w:t>
      </w:r>
      <w:bookmarkEnd w:id="261"/>
      <w:bookmarkEnd w:id="262"/>
      <w:bookmarkEnd w:id="263"/>
      <w:bookmarkEnd w:id="264"/>
      <w:bookmarkEnd w:id="265"/>
    </w:p>
    <w:p>
      <w:pPr>
        <w:pStyle w:val="37"/>
        <w:ind w:firstLine="560"/>
        <w:sectPr>
          <w:pgSz w:w="11906" w:h="16838"/>
          <w:pgMar w:top="1440" w:right="1800" w:bottom="1440" w:left="1800" w:header="851" w:footer="992" w:gutter="0"/>
          <w:cols w:space="425" w:num="1"/>
          <w:docGrid w:type="lines" w:linePitch="312" w:charSpace="0"/>
        </w:sectPr>
      </w:pPr>
      <w:r>
        <w:rPr>
          <w:rFonts w:hint="eastAsia"/>
        </w:rPr>
        <w:t>作为丝绸产业的基础桑蚕养殖业存在极大的市场需求。据调研，桑蚕养殖面临农村地区设备稀缺、技术落后、人力资源稀少等问题，难以产生持续、稳定的产业效益。而市场上的大多数产品良莠不齐，大都存在大型化、粗放、昂贵等缺点，并不能满足人们生产的实际需要。各项市场需求进一步扩大，桑蚕养殖数字化智能化已经成为必然趋势，市场对于桑蚕养殖智能化机械的需求巨大，桑蚕养殖智能化势在必行</w:t>
      </w:r>
    </w:p>
    <w:p>
      <w:pPr>
        <w:pStyle w:val="2"/>
        <w:rPr>
          <w:rFonts w:ascii="黑体" w:hAnsi="黑体" w:eastAsia="黑体"/>
          <w:sz w:val="32"/>
          <w:szCs w:val="32"/>
        </w:rPr>
      </w:pPr>
      <w:bookmarkStart w:id="266" w:name="_Toc30065"/>
      <w:bookmarkStart w:id="267" w:name="_Toc25052"/>
      <w:bookmarkStart w:id="268" w:name="_Toc90339080"/>
      <w:bookmarkStart w:id="269" w:name="_Toc26456"/>
      <w:bookmarkStart w:id="270" w:name="_Toc13358"/>
      <w:bookmarkStart w:id="271" w:name="_Toc8381"/>
      <w:r>
        <w:rPr>
          <w:rFonts w:hint="eastAsia" w:ascii="黑体" w:hAnsi="黑体" w:eastAsia="黑体"/>
          <w:sz w:val="32"/>
          <w:szCs w:val="32"/>
        </w:rPr>
        <w:t>第五章公司管理</w:t>
      </w:r>
      <w:bookmarkEnd w:id="266"/>
      <w:bookmarkEnd w:id="267"/>
      <w:bookmarkEnd w:id="268"/>
      <w:bookmarkEnd w:id="269"/>
      <w:bookmarkEnd w:id="270"/>
      <w:bookmarkEnd w:id="271"/>
    </w:p>
    <w:p>
      <w:pPr>
        <w:pStyle w:val="3"/>
      </w:pPr>
      <w:bookmarkStart w:id="272" w:name="_Toc19382"/>
      <w:bookmarkStart w:id="273" w:name="_Toc12747"/>
      <w:bookmarkStart w:id="274" w:name="_Toc26407"/>
      <w:bookmarkStart w:id="275" w:name="_Toc17371"/>
      <w:bookmarkStart w:id="276" w:name="_Toc90339081"/>
      <w:r>
        <w:rPr>
          <w:rFonts w:hint="eastAsia"/>
        </w:rPr>
        <w:t>关于Silk Mate</w:t>
      </w:r>
      <w:bookmarkEnd w:id="272"/>
      <w:bookmarkEnd w:id="273"/>
      <w:bookmarkEnd w:id="274"/>
      <w:bookmarkEnd w:id="275"/>
      <w:bookmarkEnd w:id="276"/>
    </w:p>
    <w:p>
      <w:pPr>
        <w:pStyle w:val="4"/>
      </w:pPr>
      <w:bookmarkStart w:id="277" w:name="_Toc1519"/>
      <w:bookmarkStart w:id="278" w:name="_Toc6478"/>
      <w:bookmarkStart w:id="279" w:name="_Toc22497"/>
      <w:bookmarkStart w:id="280" w:name="_Toc90339082"/>
      <w:bookmarkStart w:id="281" w:name="_Toc23472"/>
      <w:r>
        <w:rPr>
          <w:rFonts w:hint="eastAsia"/>
        </w:rPr>
        <w:t>公司概况</w:t>
      </w:r>
      <w:bookmarkEnd w:id="277"/>
      <w:bookmarkEnd w:id="278"/>
      <w:bookmarkEnd w:id="279"/>
      <w:bookmarkEnd w:id="280"/>
      <w:bookmarkEnd w:id="281"/>
    </w:p>
    <w:p>
      <w:pPr>
        <w:pStyle w:val="37"/>
        <w:ind w:firstLine="560"/>
      </w:pPr>
      <w:r>
        <w:rPr>
          <w:rFonts w:hint="eastAsia"/>
        </w:rPr>
        <w:t xml:space="preserve">本公司致力于搭建一个以Jetson Nano为嵌入式以及深度学习开发平台，能够采集蚕的复杂生长环境和发育状态进行监控和预测，是一家科技领域探索开发的企业。我们的目标是实现蚕的状态检测、基本发育阶段分类、养殖环境调节等功能。公司开发出的产品在给出相应的反馈的同时，针对夜间人员人力不足的状况，加入害虫的识别和预警，由摄像头识别后的图像处理成数据在用户的个人设备上显示报警，符合当今产品简易化、智能化的特点。为今后市场需要铺平道路。 </w:t>
      </w:r>
    </w:p>
    <w:p>
      <w:pPr>
        <w:pStyle w:val="37"/>
        <w:ind w:firstLine="560"/>
        <w:rPr>
          <w:rFonts w:hint="eastAsia"/>
        </w:rPr>
      </w:pPr>
      <w:r>
        <w:rPr>
          <w:rFonts w:hint="eastAsia"/>
        </w:rPr>
        <w:t>不仅如此，本公司易于操控、部署的特点使其更加适用于个人或集体养殖户。农村桑蚕养殖产业的发展存在市场风险大、专业农技人员少、劳动力人员少的特点；采用本公司开发的产品可以有效减少桑蚕产品损失、降低从业人员技术要求、减少重复劳动力使用，在有效提高地区桑蚕行业经济效益的同时，助力可持续的乡村振兴，促进象征现代化和乡村人民生活富裕同时发展第三产业，符合乡村经济建设和农业振兴的国家经济发展战略，让传统手工业走上现代化、多样性、产业化特色发展之路。</w:t>
      </w:r>
    </w:p>
    <w:p>
      <w:pPr>
        <w:pStyle w:val="4"/>
      </w:pPr>
      <w:bookmarkStart w:id="282" w:name="_Toc6929"/>
      <w:bookmarkStart w:id="283" w:name="_Toc90339083"/>
      <w:bookmarkStart w:id="284" w:name="_Toc28670"/>
      <w:bookmarkStart w:id="285" w:name="_Toc10605"/>
      <w:bookmarkStart w:id="286" w:name="_Toc30611"/>
      <w:r>
        <w:rPr>
          <w:rFonts w:hint="eastAsia"/>
        </w:rPr>
        <w:t>公司文化</w:t>
      </w:r>
      <w:bookmarkEnd w:id="282"/>
      <w:bookmarkEnd w:id="283"/>
      <w:bookmarkEnd w:id="284"/>
      <w:bookmarkEnd w:id="285"/>
      <w:bookmarkEnd w:id="286"/>
    </w:p>
    <w:p>
      <w:pPr>
        <w:pStyle w:val="37"/>
        <w:ind w:firstLine="560"/>
      </w:pPr>
      <w:r>
        <w:rPr>
          <w:rFonts w:hint="eastAsia"/>
        </w:rPr>
        <w:t>帮助务农人员实现简易化、智能化养殖，发挥蚕桑养殖优势，助推乡村振兴，助力脱贫攻坚。</w:t>
      </w:r>
    </w:p>
    <w:p>
      <w:pPr>
        <w:pStyle w:val="3"/>
      </w:pPr>
      <w:bookmarkStart w:id="287" w:name="_Toc90339084"/>
      <w:bookmarkStart w:id="288" w:name="_Toc20114"/>
      <w:bookmarkStart w:id="289" w:name="_Toc28708"/>
      <w:bookmarkStart w:id="290" w:name="_Toc11668"/>
      <w:bookmarkStart w:id="291" w:name="_Toc7896"/>
      <w:r>
        <w:rPr>
          <w:rFonts w:hint="eastAsia"/>
        </w:rPr>
        <w:t>公司架构</w:t>
      </w:r>
      <w:bookmarkEnd w:id="287"/>
      <w:bookmarkEnd w:id="288"/>
      <w:bookmarkEnd w:id="289"/>
      <w:bookmarkEnd w:id="290"/>
      <w:bookmarkEnd w:id="291"/>
    </w:p>
    <w:p>
      <w:pPr>
        <w:pStyle w:val="37"/>
        <w:ind w:firstLine="560"/>
      </w:pPr>
      <w:r>
        <w:rPr>
          <w:rFonts w:hint="eastAsia"/>
        </w:rPr>
        <w:t>团队描述和团队成员</w:t>
      </w:r>
    </w:p>
    <w:p>
      <w:pPr>
        <w:pStyle w:val="4"/>
      </w:pPr>
      <w:bookmarkStart w:id="292" w:name="_Toc26580"/>
      <w:bookmarkStart w:id="293" w:name="_Toc13913"/>
      <w:bookmarkStart w:id="294" w:name="_Toc2302"/>
      <w:bookmarkStart w:id="295" w:name="_Toc90339085"/>
      <w:bookmarkStart w:id="296" w:name="_Toc11396"/>
      <w:r>
        <w:rPr>
          <w:rFonts w:hint="eastAsia"/>
        </w:rPr>
        <w:t>组织架构形式</w:t>
      </w:r>
      <w:bookmarkEnd w:id="292"/>
      <w:bookmarkEnd w:id="293"/>
      <w:bookmarkEnd w:id="294"/>
      <w:bookmarkEnd w:id="295"/>
      <w:bookmarkEnd w:id="296"/>
    </w:p>
    <w:p>
      <w:pPr>
        <w:pStyle w:val="37"/>
        <w:ind w:firstLine="560"/>
      </w:pPr>
      <w:r>
        <w:rPr>
          <w:rFonts w:hint="eastAsia"/>
        </w:rPr>
        <w:t>公司采用创业型组织结构，不仅能集中统一指挥，而且能发挥专业管理职能的作用。同时，实行总经理责任制，直接管理行政部门、财务部门、营销部门、市场部门、办公室，组织协调好各部门的工作，促进公司的平稳发展。</w:t>
      </w:r>
    </w:p>
    <w:p>
      <w:pPr>
        <w:pStyle w:val="4"/>
      </w:pPr>
      <w:bookmarkStart w:id="297" w:name="_Toc90339086"/>
      <w:bookmarkStart w:id="298" w:name="_Toc27710"/>
      <w:bookmarkStart w:id="299" w:name="_Toc30750"/>
      <w:bookmarkStart w:id="300" w:name="_Toc9920"/>
      <w:bookmarkStart w:id="301" w:name="_Toc19170"/>
      <w:r>
        <w:rPr>
          <w:rFonts w:hint="eastAsia"/>
        </w:rPr>
        <w:t>组织结构图</w:t>
      </w:r>
      <w:bookmarkEnd w:id="297"/>
      <w:bookmarkEnd w:id="298"/>
      <w:bookmarkEnd w:id="299"/>
      <w:bookmarkEnd w:id="300"/>
      <w:bookmarkEnd w:id="301"/>
    </w:p>
    <w:p>
      <w:pPr>
        <w:pStyle w:val="37"/>
        <w:ind w:firstLine="560"/>
        <w:rPr>
          <w:rFonts w:hint="eastAsia"/>
        </w:rPr>
      </w:pPr>
      <w:r>
        <w:rPr>
          <w:rFonts w:hint="eastAsia"/>
        </w:rPr>
        <w:t>在创业初期，公司将技术研发和市场推广作为重心。依靠技术的优势及创业团队的通力合作将公司的节能服务推向市场。为了让推广顺利，各部门采用灵活配合的方式，各个项目经理可根据各个部门成员的特长，调动各方力量来协同完成任务。创业初期，一般是一员身任多职，灵活调配，通过这种方式，既可以充分发挥整个团队的战斗力，最大化的提高效率；也可以团队成员的得到充分而又全面的锻炼，为以后作为公司的核心领导成员做铺垫。</w:t>
      </w:r>
    </w:p>
    <w:p>
      <w:pPr>
        <w:jc w:val="left"/>
        <w:rPr>
          <w:rFonts w:ascii="Times New Roman" w:hAnsi="Times New Roman" w:eastAsia="仿宋" w:cs="仿宋"/>
          <w:sz w:val="28"/>
        </w:rPr>
      </w:pPr>
      <w:r>
        <w:rPr>
          <w:rFonts w:hint="eastAsia" w:ascii="仿宋" w:hAnsi="仿宋" w:eastAsia="仿宋" w:cs="仿宋"/>
        </w:rPr>
        <w:drawing>
          <wp:inline distT="0" distB="0" distL="114300" distR="114300">
            <wp:extent cx="5271770" cy="1865630"/>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32"/>
                    <a:stretch>
                      <a:fillRect/>
                    </a:stretch>
                  </pic:blipFill>
                  <pic:spPr>
                    <a:xfrm>
                      <a:off x="0" y="0"/>
                      <a:ext cx="5271770" cy="1865630"/>
                    </a:xfrm>
                    <a:prstGeom prst="rect">
                      <a:avLst/>
                    </a:prstGeom>
                  </pic:spPr>
                </pic:pic>
              </a:graphicData>
            </a:graphic>
          </wp:inline>
        </w:drawing>
      </w:r>
    </w:p>
    <w:p>
      <w:pPr>
        <w:jc w:val="center"/>
        <w:rPr>
          <w:rFonts w:hint="eastAsia" w:ascii="宋体" w:hAnsi="宋体" w:cs="仿宋"/>
          <w:sz w:val="21"/>
          <w:szCs w:val="21"/>
        </w:rPr>
      </w:pPr>
      <w:bookmarkStart w:id="302" w:name="_Toc90339163"/>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19</w:t>
      </w:r>
      <w:r>
        <w:fldChar w:fldCharType="end"/>
      </w:r>
      <w:r>
        <w:rPr>
          <w:rFonts w:hint="eastAsia" w:ascii="宋体" w:hAnsi="宋体"/>
          <w:sz w:val="21"/>
          <w:szCs w:val="21"/>
        </w:rPr>
        <w:t>该阶段公司组织架构</w:t>
      </w:r>
      <w:bookmarkEnd w:id="302"/>
    </w:p>
    <w:p>
      <w:pPr>
        <w:pStyle w:val="4"/>
      </w:pPr>
      <w:bookmarkStart w:id="303" w:name="_Toc30012"/>
      <w:bookmarkStart w:id="304" w:name="_Toc31159"/>
      <w:bookmarkStart w:id="305" w:name="_Toc6049"/>
      <w:bookmarkStart w:id="306" w:name="_Toc90339087"/>
      <w:bookmarkStart w:id="307" w:name="_Toc3281"/>
      <w:r>
        <w:rPr>
          <w:rFonts w:hint="eastAsia"/>
        </w:rPr>
        <w:t>各岗位职责</w:t>
      </w:r>
      <w:bookmarkEnd w:id="303"/>
      <w:bookmarkEnd w:id="304"/>
      <w:bookmarkEnd w:id="305"/>
      <w:bookmarkEnd w:id="306"/>
      <w:bookmarkEnd w:id="307"/>
    </w:p>
    <w:p>
      <w:pPr>
        <w:pStyle w:val="37"/>
        <w:ind w:firstLine="560"/>
        <w:rPr>
          <w:rFonts w:hint="eastAsia"/>
        </w:rPr>
      </w:pPr>
      <w:r>
        <w:rPr>
          <w:rFonts w:hint="eastAsia"/>
        </w:rPr>
        <w:t>公司产权清晰，责权分明，在高管层的带领下，各部门在自己的业务范围内各司其职，不得出现越权现象。各个部门职能如下表所示：</w:t>
      </w:r>
    </w:p>
    <w:p>
      <w:pPr>
        <w:pStyle w:val="4"/>
      </w:pPr>
      <w:bookmarkStart w:id="308" w:name="_Toc9723"/>
      <w:bookmarkStart w:id="309" w:name="_Toc26962"/>
      <w:bookmarkStart w:id="310" w:name="_Toc90339088"/>
      <w:bookmarkStart w:id="311" w:name="_Toc13619"/>
      <w:bookmarkStart w:id="312" w:name="_Toc16623"/>
      <w:r>
        <w:rPr>
          <w:rFonts w:hint="eastAsia"/>
        </w:rPr>
        <w:t>创业团队介绍</w:t>
      </w:r>
      <w:bookmarkEnd w:id="308"/>
      <w:bookmarkEnd w:id="309"/>
      <w:bookmarkEnd w:id="310"/>
      <w:bookmarkEnd w:id="311"/>
      <w:bookmarkEnd w:id="312"/>
    </w:p>
    <w:p>
      <w:pPr>
        <w:pStyle w:val="37"/>
        <w:ind w:firstLine="560"/>
        <w:rPr>
          <w:rFonts w:hint="eastAsia"/>
        </w:rPr>
      </w:pPr>
      <w:r>
        <w:rPr>
          <w:rFonts w:hint="eastAsia"/>
        </w:rPr>
        <w:t>公司成立初期，力求精简，充分发挥创始人的专业优势，各司其职。分工如</w:t>
      </w:r>
      <w:r>
        <w:fldChar w:fldCharType="begin"/>
      </w:r>
      <w:r>
        <w:instrText xml:space="preserve"> </w:instrText>
      </w:r>
      <w:r>
        <w:rPr>
          <w:rFonts w:hint="eastAsia"/>
        </w:rPr>
        <w:instrText xml:space="preserve">REF _Ref90337746 \h</w:instrText>
      </w:r>
      <w:r>
        <w:instrText xml:space="preserve"> </w:instrText>
      </w:r>
      <w:r>
        <w:fldChar w:fldCharType="separate"/>
      </w:r>
      <w:r>
        <w:rPr>
          <w:rFonts w:hint="eastAsia"/>
        </w:rPr>
        <w:t xml:space="preserve">表格 </w:t>
      </w:r>
      <w:r>
        <w:t>3</w:t>
      </w:r>
      <w:r>
        <w:rPr>
          <w:rFonts w:hint="eastAsia" w:ascii="宋体" w:hAnsi="宋体" w:eastAsia="宋体"/>
          <w:sz w:val="21"/>
          <w:szCs w:val="21"/>
        </w:rPr>
        <w:t>分工</w:t>
      </w:r>
      <w:r>
        <w:fldChar w:fldCharType="end"/>
      </w:r>
      <w:r>
        <w:rPr>
          <w:rFonts w:hint="eastAsia"/>
        </w:rPr>
        <w:t>：</w:t>
      </w:r>
    </w:p>
    <w:tbl>
      <w:tblPr>
        <w:tblStyle w:val="39"/>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159"/>
        <w:gridCol w:w="1080"/>
        <w:gridCol w:w="2264"/>
        <w:gridCol w:w="688"/>
        <w:gridCol w:w="1910"/>
        <w:gridCol w:w="142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restart"/>
            <w:tcBorders>
              <w:top w:val="single" w:color="FFFFFF" w:themeColor="background1" w:sz="4" w:space="0"/>
              <w:left w:val="single" w:color="FFFFFF" w:themeColor="background1" w:sz="4" w:space="0"/>
              <w:right w:val="nil"/>
              <w:insideV w:val="nil"/>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创</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业</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团</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队</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主</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要</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成</w:t>
            </w:r>
          </w:p>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员</w:t>
            </w:r>
          </w:p>
        </w:tc>
        <w:tc>
          <w:tcPr>
            <w:tcW w:w="1080" w:type="dxa"/>
            <w:tcBorders>
              <w:top w:val="single" w:color="FFFFFF" w:themeColor="background1" w:sz="4" w:space="0"/>
              <w:right w:val="nil"/>
              <w:insideV w:val="nil"/>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姓名</w:t>
            </w:r>
          </w:p>
        </w:tc>
        <w:tc>
          <w:tcPr>
            <w:tcW w:w="2264" w:type="dxa"/>
            <w:tcBorders>
              <w:top w:val="single" w:color="FFFFFF" w:themeColor="background1" w:sz="4" w:space="0"/>
              <w:right w:val="nil"/>
              <w:insideV w:val="nil"/>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院系专业</w:t>
            </w:r>
          </w:p>
        </w:tc>
        <w:tc>
          <w:tcPr>
            <w:tcW w:w="688" w:type="dxa"/>
            <w:tcBorders>
              <w:top w:val="single" w:color="FFFFFF" w:themeColor="background1" w:sz="4" w:space="0"/>
              <w:right w:val="nil"/>
              <w:insideV w:val="nil"/>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年级</w:t>
            </w:r>
          </w:p>
        </w:tc>
        <w:tc>
          <w:tcPr>
            <w:tcW w:w="1910" w:type="dxa"/>
            <w:tcBorders>
              <w:top w:val="single" w:color="FFFFFF" w:themeColor="background1" w:sz="4" w:space="0"/>
              <w:right w:val="nil"/>
              <w:insideV w:val="nil"/>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具体分工</w:t>
            </w:r>
          </w:p>
        </w:tc>
        <w:tc>
          <w:tcPr>
            <w:tcW w:w="1421" w:type="dxa"/>
            <w:tcBorders>
              <w:top w:val="single" w:color="FFFFFF" w:themeColor="background1" w:sz="4" w:space="0"/>
              <w:right w:val="single" w:color="FFFFFF" w:themeColor="background1" w:sz="4" w:space="0"/>
              <w:insideV w:val="nil"/>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r>
              <w:rPr>
                <w:rFonts w:hint="eastAsia" w:ascii="宋体" w:hAnsi="宋体" w:cs="仿宋"/>
                <w:b/>
                <w:bCs/>
                <w:color w:val="FFFFFF" w:themeColor="background1"/>
                <w:sz w:val="21"/>
                <w:szCs w:val="21"/>
                <w14:textFill>
                  <w14:solidFill>
                    <w14:schemeClr w14:val="bg1"/>
                  </w14:solidFill>
                </w14:textFill>
              </w:rPr>
              <w:t>专长</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夏能</w:t>
            </w:r>
          </w:p>
        </w:tc>
        <w:tc>
          <w:tcPr>
            <w:tcW w:w="2264"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计算机科学与技术</w:t>
            </w:r>
          </w:p>
        </w:tc>
        <w:tc>
          <w:tcPr>
            <w:tcW w:w="688"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C5E0B3" w:themeFill="accent6" w:themeFillTint="66"/>
          </w:tcPr>
          <w:p>
            <w:pPr>
              <w:jc w:val="center"/>
              <w:rPr>
                <w:rFonts w:ascii="宋体" w:hAnsi="宋体" w:cs="仿宋"/>
                <w:sz w:val="21"/>
                <w:szCs w:val="21"/>
              </w:rPr>
            </w:pPr>
          </w:p>
        </w:tc>
        <w:tc>
          <w:tcPr>
            <w:tcW w:w="1421"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具有很强的软件设计能力</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黄颖波</w:t>
            </w:r>
          </w:p>
        </w:tc>
        <w:tc>
          <w:tcPr>
            <w:tcW w:w="2264"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电子信息工程</w:t>
            </w:r>
          </w:p>
        </w:tc>
        <w:tc>
          <w:tcPr>
            <w:tcW w:w="688"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E2EFD9" w:themeFill="accent6" w:themeFillTint="33"/>
          </w:tcPr>
          <w:p>
            <w:pPr>
              <w:jc w:val="center"/>
              <w:rPr>
                <w:rFonts w:ascii="宋体" w:hAnsi="宋体" w:cs="仿宋"/>
                <w:sz w:val="21"/>
                <w:szCs w:val="21"/>
              </w:rPr>
            </w:pPr>
          </w:p>
        </w:tc>
        <w:tc>
          <w:tcPr>
            <w:tcW w:w="142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具有丰富的硬件设计经验</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屠林振</w:t>
            </w:r>
          </w:p>
        </w:tc>
        <w:tc>
          <w:tcPr>
            <w:tcW w:w="2264"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自动化</w:t>
            </w:r>
          </w:p>
        </w:tc>
        <w:tc>
          <w:tcPr>
            <w:tcW w:w="688"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C5E0B3" w:themeFill="accent6" w:themeFillTint="66"/>
          </w:tcPr>
          <w:p>
            <w:pPr>
              <w:jc w:val="center"/>
              <w:rPr>
                <w:rFonts w:ascii="宋体" w:hAnsi="宋体" w:cs="仿宋"/>
                <w:sz w:val="21"/>
                <w:szCs w:val="21"/>
              </w:rPr>
            </w:pPr>
          </w:p>
        </w:tc>
        <w:tc>
          <w:tcPr>
            <w:tcW w:w="1421"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数学建模能力较强</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郭清源</w:t>
            </w:r>
          </w:p>
        </w:tc>
        <w:tc>
          <w:tcPr>
            <w:tcW w:w="2264"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圣光机计算机科学与技术</w:t>
            </w:r>
          </w:p>
        </w:tc>
        <w:tc>
          <w:tcPr>
            <w:tcW w:w="688"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E2EFD9" w:themeFill="accent6" w:themeFillTint="33"/>
          </w:tcPr>
          <w:p>
            <w:pPr>
              <w:jc w:val="center"/>
              <w:rPr>
                <w:rFonts w:ascii="宋体" w:hAnsi="宋体" w:cs="仿宋"/>
                <w:sz w:val="21"/>
                <w:szCs w:val="21"/>
              </w:rPr>
            </w:pPr>
          </w:p>
        </w:tc>
        <w:tc>
          <w:tcPr>
            <w:tcW w:w="142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具有丰富的软件、管理能力</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申瑞琪</w:t>
            </w:r>
          </w:p>
        </w:tc>
        <w:tc>
          <w:tcPr>
            <w:tcW w:w="2264"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圣光机计算机科学与技术</w:t>
            </w:r>
          </w:p>
        </w:tc>
        <w:tc>
          <w:tcPr>
            <w:tcW w:w="688"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C5E0B3" w:themeFill="accent6" w:themeFillTint="66"/>
          </w:tcPr>
          <w:p>
            <w:pPr>
              <w:jc w:val="center"/>
              <w:rPr>
                <w:rFonts w:ascii="宋体" w:hAnsi="宋体" w:cs="仿宋"/>
                <w:sz w:val="21"/>
                <w:szCs w:val="21"/>
              </w:rPr>
            </w:pPr>
          </w:p>
        </w:tc>
        <w:tc>
          <w:tcPr>
            <w:tcW w:w="1421"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具有丰富的制作设计技巧</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韩浩杰</w:t>
            </w:r>
          </w:p>
        </w:tc>
        <w:tc>
          <w:tcPr>
            <w:tcW w:w="2264"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会计学</w:t>
            </w:r>
          </w:p>
        </w:tc>
        <w:tc>
          <w:tcPr>
            <w:tcW w:w="688"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E2EFD9" w:themeFill="accent6" w:themeFillTint="33"/>
          </w:tcPr>
          <w:p>
            <w:pPr>
              <w:jc w:val="center"/>
              <w:rPr>
                <w:rFonts w:ascii="宋体" w:hAnsi="宋体" w:cs="仿宋"/>
                <w:sz w:val="21"/>
                <w:szCs w:val="21"/>
              </w:rPr>
            </w:pPr>
          </w:p>
        </w:tc>
        <w:tc>
          <w:tcPr>
            <w:tcW w:w="142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具有丰富的软件设计经验</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杨圆园</w:t>
            </w:r>
          </w:p>
        </w:tc>
        <w:tc>
          <w:tcPr>
            <w:tcW w:w="2264"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金融</w:t>
            </w:r>
          </w:p>
        </w:tc>
        <w:tc>
          <w:tcPr>
            <w:tcW w:w="688"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C5E0B3" w:themeFill="accent6" w:themeFillTint="66"/>
          </w:tcPr>
          <w:p>
            <w:pPr>
              <w:jc w:val="center"/>
              <w:rPr>
                <w:rFonts w:ascii="宋体" w:hAnsi="宋体" w:cs="仿宋"/>
                <w:sz w:val="21"/>
                <w:szCs w:val="21"/>
              </w:rPr>
            </w:pPr>
          </w:p>
        </w:tc>
        <w:tc>
          <w:tcPr>
            <w:tcW w:w="1421" w:type="dxa"/>
            <w:shd w:val="clear" w:color="auto" w:fill="C5E0B3" w:themeFill="accent6" w:themeFillTint="66"/>
          </w:tcPr>
          <w:p>
            <w:pPr>
              <w:jc w:val="center"/>
              <w:rPr>
                <w:rFonts w:ascii="宋体" w:hAnsi="宋体" w:cs="仿宋"/>
                <w:sz w:val="21"/>
                <w:szCs w:val="21"/>
              </w:rPr>
            </w:pPr>
            <w:r>
              <w:rPr>
                <w:rFonts w:hint="eastAsia" w:ascii="宋体" w:hAnsi="宋体" w:cs="仿宋"/>
                <w:sz w:val="21"/>
                <w:szCs w:val="21"/>
              </w:rPr>
              <w:t>知识面广，具有很强的沟通能力</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159" w:type="dxa"/>
            <w:vMerge w:val="continue"/>
            <w:tcBorders>
              <w:left w:val="single" w:color="FFFFFF" w:themeColor="background1" w:sz="4" w:space="0"/>
              <w:bottom w:val="single" w:color="FFFFFF" w:themeColor="background1" w:sz="4" w:space="0"/>
            </w:tcBorders>
            <w:shd w:val="clear" w:color="auto" w:fill="70AD47" w:themeFill="accent6"/>
          </w:tcPr>
          <w:p>
            <w:pPr>
              <w:jc w:val="center"/>
              <w:rPr>
                <w:rFonts w:ascii="宋体" w:hAnsi="宋体" w:cs="仿宋"/>
                <w:b/>
                <w:bCs/>
                <w:color w:val="FFFFFF" w:themeColor="background1"/>
                <w:sz w:val="21"/>
                <w:szCs w:val="21"/>
                <w14:textFill>
                  <w14:solidFill>
                    <w14:schemeClr w14:val="bg1"/>
                  </w14:solidFill>
                </w14:textFill>
              </w:rPr>
            </w:pPr>
          </w:p>
        </w:tc>
        <w:tc>
          <w:tcPr>
            <w:tcW w:w="1080"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沈苏阳</w:t>
            </w:r>
          </w:p>
        </w:tc>
        <w:tc>
          <w:tcPr>
            <w:tcW w:w="2264"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智能商务</w:t>
            </w:r>
          </w:p>
        </w:tc>
        <w:tc>
          <w:tcPr>
            <w:tcW w:w="688"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20</w:t>
            </w:r>
          </w:p>
        </w:tc>
        <w:tc>
          <w:tcPr>
            <w:tcW w:w="1910" w:type="dxa"/>
            <w:shd w:val="clear" w:color="auto" w:fill="E2EFD9" w:themeFill="accent6" w:themeFillTint="33"/>
          </w:tcPr>
          <w:p>
            <w:pPr>
              <w:jc w:val="center"/>
              <w:rPr>
                <w:rFonts w:ascii="宋体" w:hAnsi="宋体" w:cs="仿宋"/>
                <w:sz w:val="21"/>
                <w:szCs w:val="21"/>
              </w:rPr>
            </w:pPr>
          </w:p>
        </w:tc>
        <w:tc>
          <w:tcPr>
            <w:tcW w:w="142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竞赛能力、沟通力强</w:t>
            </w:r>
          </w:p>
        </w:tc>
      </w:tr>
    </w:tbl>
    <w:p>
      <w:pPr>
        <w:jc w:val="center"/>
        <w:rPr>
          <w:rFonts w:hint="eastAsia" w:ascii="宋体" w:hAnsi="宋体" w:cs="仿宋"/>
          <w:sz w:val="21"/>
          <w:szCs w:val="21"/>
        </w:rPr>
      </w:pPr>
      <w:bookmarkStart w:id="313" w:name="_Toc90339167"/>
      <w:bookmarkStart w:id="314" w:name="_Ref90337746"/>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3</w:t>
      </w:r>
      <w:r>
        <w:fldChar w:fldCharType="end"/>
      </w:r>
      <w:r>
        <w:rPr>
          <w:rFonts w:hint="eastAsia" w:ascii="宋体" w:hAnsi="宋体"/>
          <w:sz w:val="21"/>
          <w:szCs w:val="21"/>
        </w:rPr>
        <w:t>分工</w:t>
      </w:r>
      <w:bookmarkEnd w:id="313"/>
      <w:bookmarkEnd w:id="314"/>
    </w:p>
    <w:p>
      <w:pPr>
        <w:pStyle w:val="4"/>
      </w:pPr>
      <w:bookmarkStart w:id="315" w:name="_Toc548"/>
      <w:bookmarkStart w:id="316" w:name="_Toc90339089"/>
      <w:bookmarkStart w:id="317" w:name="_Toc7927"/>
      <w:bookmarkStart w:id="318" w:name="_Toc7277"/>
      <w:bookmarkStart w:id="319" w:name="_Toc3398"/>
      <w:r>
        <w:rPr>
          <w:rFonts w:hint="eastAsia"/>
        </w:rPr>
        <w:t>公司主要职工介绍</w:t>
      </w:r>
      <w:bookmarkEnd w:id="315"/>
      <w:bookmarkEnd w:id="316"/>
      <w:bookmarkEnd w:id="317"/>
      <w:bookmarkEnd w:id="318"/>
      <w:bookmarkEnd w:id="319"/>
    </w:p>
    <w:tbl>
      <w:tblPr>
        <w:tblStyle w:val="39"/>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219"/>
        <w:gridCol w:w="1188"/>
        <w:gridCol w:w="611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1219" w:type="dxa"/>
            <w:tcBorders>
              <w:top w:val="single" w:color="FFFFFF" w:themeColor="background1" w:sz="4" w:space="0"/>
              <w:left w:val="single" w:color="FFFFFF" w:themeColor="background1" w:sz="4" w:space="0"/>
              <w:right w:val="nil"/>
              <w:insideV w:val="nil"/>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姓名</w:t>
            </w:r>
          </w:p>
        </w:tc>
        <w:tc>
          <w:tcPr>
            <w:tcW w:w="1188" w:type="dxa"/>
            <w:tcBorders>
              <w:top w:val="single" w:color="FFFFFF" w:themeColor="background1" w:sz="4" w:space="0"/>
              <w:right w:val="nil"/>
              <w:insideV w:val="nil"/>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职务</w:t>
            </w:r>
          </w:p>
        </w:tc>
        <w:tc>
          <w:tcPr>
            <w:tcW w:w="6115" w:type="dxa"/>
            <w:tcBorders>
              <w:top w:val="single" w:color="FFFFFF" w:themeColor="background1" w:sz="4" w:space="0"/>
              <w:right w:val="single" w:color="FFFFFF" w:themeColor="background1" w:sz="4" w:space="0"/>
              <w:insideV w:val="nil"/>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业绩说明</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夏能</w:t>
            </w:r>
          </w:p>
        </w:tc>
        <w:tc>
          <w:tcPr>
            <w:tcW w:w="1188" w:type="dxa"/>
            <w:shd w:val="clear" w:color="auto" w:fill="C5E0B3" w:themeFill="accent6" w:themeFillTint="66"/>
          </w:tcPr>
          <w:p>
            <w:pPr>
              <w:jc w:val="center"/>
              <w:rPr>
                <w:rFonts w:ascii="仿宋" w:hAnsi="仿宋" w:eastAsia="仿宋" w:cs="仿宋"/>
              </w:rPr>
            </w:pPr>
            <w:r>
              <w:rPr>
                <w:rFonts w:hint="eastAsia" w:ascii="仿宋" w:hAnsi="仿宋" w:eastAsia="仿宋" w:cs="仿宋"/>
              </w:rPr>
              <w:t>技术部</w:t>
            </w:r>
          </w:p>
        </w:tc>
        <w:tc>
          <w:tcPr>
            <w:tcW w:w="6115" w:type="dxa"/>
            <w:shd w:val="clear" w:color="auto" w:fill="C5E0B3" w:themeFill="accent6" w:themeFillTint="66"/>
          </w:tcPr>
          <w:p>
            <w:pPr>
              <w:jc w:val="center"/>
              <w:rPr>
                <w:rFonts w:ascii="仿宋" w:hAnsi="仿宋" w:eastAsia="仿宋" w:cs="仿宋"/>
              </w:rPr>
            </w:pPr>
            <w:r>
              <w:rPr>
                <w:rFonts w:hint="eastAsia" w:ascii="仿宋" w:hAnsi="仿宋" w:eastAsia="仿宋" w:cs="仿宋"/>
              </w:rPr>
              <w:t>杭电极客社团研发部人员，在校一年获得三等奖学金一次。《一种多分支深度自注意力变换网络的神经网络架构及实现方法》、《一种牙根图像交互标注方法》、《一种利用关键点检测多项式拟合曲线对牙根影像分割方法》三篇专利的四，五，六作者，参加《Anatomy-Guided Parallel Bottleneck Transformer Network for Automated Evaluation of Root Canal Therapy》期刊论文的写作</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540" w:hRule="atLeast"/>
        </w:trPr>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黄颖波</w:t>
            </w:r>
          </w:p>
        </w:tc>
        <w:tc>
          <w:tcPr>
            <w:tcW w:w="1188" w:type="dxa"/>
            <w:shd w:val="clear" w:color="auto" w:fill="E2EFD9" w:themeFill="accent6" w:themeFillTint="33"/>
          </w:tcPr>
          <w:p>
            <w:pPr>
              <w:jc w:val="center"/>
              <w:rPr>
                <w:rFonts w:ascii="仿宋" w:hAnsi="仿宋" w:eastAsia="仿宋" w:cs="仿宋"/>
              </w:rPr>
            </w:pPr>
            <w:r>
              <w:rPr>
                <w:rFonts w:hint="eastAsia" w:ascii="仿宋" w:hAnsi="仿宋" w:eastAsia="仿宋" w:cs="仿宋"/>
              </w:rPr>
              <w:t>技术部</w:t>
            </w:r>
          </w:p>
        </w:tc>
        <w:tc>
          <w:tcPr>
            <w:tcW w:w="6115" w:type="dxa"/>
            <w:shd w:val="clear" w:color="auto" w:fill="E2EFD9" w:themeFill="accent6" w:themeFillTint="33"/>
          </w:tcPr>
          <w:p>
            <w:pPr>
              <w:jc w:val="center"/>
              <w:rPr>
                <w:rFonts w:ascii="仿宋" w:hAnsi="仿宋" w:eastAsia="仿宋" w:cs="仿宋"/>
              </w:rPr>
            </w:pPr>
            <w:r>
              <w:rPr>
                <w:rFonts w:hint="eastAsia" w:ascii="仿宋" w:hAnsi="仿宋" w:eastAsia="仿宋" w:cs="仿宋"/>
              </w:rPr>
              <w:t>熟悉pytorch、tensorflow等神经网络框架，对jetson</w:t>
            </w:r>
            <w:r>
              <w:rPr>
                <w:rFonts w:ascii="Cambria Math" w:hAnsi="Cambria Math" w:eastAsia="仿宋" w:cs="Cambria Math"/>
              </w:rPr>
              <w:t> </w:t>
            </w:r>
            <w:r>
              <w:rPr>
                <w:rFonts w:hint="eastAsia" w:ascii="仿宋" w:hAnsi="仿宋" w:eastAsia="仿宋" w:cs="仿宋"/>
              </w:rPr>
              <w:t>nano、树莓派、Arduino等设备较了解</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屠林振</w:t>
            </w:r>
          </w:p>
        </w:tc>
        <w:tc>
          <w:tcPr>
            <w:tcW w:w="1188" w:type="dxa"/>
            <w:shd w:val="clear" w:color="auto" w:fill="C5E0B3" w:themeFill="accent6" w:themeFillTint="66"/>
          </w:tcPr>
          <w:p>
            <w:pPr>
              <w:jc w:val="center"/>
              <w:rPr>
                <w:rFonts w:ascii="仿宋" w:hAnsi="仿宋" w:eastAsia="仿宋" w:cs="仿宋"/>
              </w:rPr>
            </w:pPr>
            <w:r>
              <w:rPr>
                <w:rFonts w:hint="eastAsia" w:ascii="仿宋" w:hAnsi="仿宋" w:eastAsia="仿宋" w:cs="仿宋"/>
              </w:rPr>
              <w:t>技术部</w:t>
            </w:r>
          </w:p>
        </w:tc>
        <w:tc>
          <w:tcPr>
            <w:tcW w:w="6115" w:type="dxa"/>
            <w:shd w:val="clear" w:color="auto" w:fill="C5E0B3" w:themeFill="accent6" w:themeFillTint="66"/>
          </w:tcPr>
          <w:p>
            <w:pPr>
              <w:jc w:val="center"/>
              <w:rPr>
                <w:rFonts w:ascii="仿宋" w:hAnsi="仿宋" w:eastAsia="仿宋" w:cs="仿宋"/>
              </w:rPr>
            </w:pPr>
            <w:r>
              <w:rPr>
                <w:rFonts w:hint="eastAsia" w:ascii="仿宋" w:hAnsi="仿宋" w:eastAsia="仿宋" w:cs="仿宋"/>
              </w:rPr>
              <w:t>中国共产党预备党员。在校获得二等奖学金一次，荣获智能车竞赛校级二等奖，数学建模新生杯二等奖等</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郭清源</w:t>
            </w:r>
          </w:p>
        </w:tc>
        <w:tc>
          <w:tcPr>
            <w:tcW w:w="1188" w:type="dxa"/>
            <w:shd w:val="clear" w:color="auto" w:fill="E2EFD9" w:themeFill="accent6" w:themeFillTint="33"/>
          </w:tcPr>
          <w:p>
            <w:pPr>
              <w:jc w:val="center"/>
              <w:rPr>
                <w:rFonts w:ascii="仿宋" w:hAnsi="仿宋" w:eastAsia="仿宋" w:cs="仿宋"/>
              </w:rPr>
            </w:pPr>
            <w:r>
              <w:rPr>
                <w:rFonts w:hint="eastAsia" w:ascii="仿宋" w:hAnsi="仿宋" w:eastAsia="仿宋" w:cs="仿宋"/>
              </w:rPr>
              <w:t>市场部</w:t>
            </w:r>
          </w:p>
        </w:tc>
        <w:tc>
          <w:tcPr>
            <w:tcW w:w="6115" w:type="dxa"/>
            <w:shd w:val="clear" w:color="auto" w:fill="E2EFD9" w:themeFill="accent6" w:themeFillTint="33"/>
          </w:tcPr>
          <w:p>
            <w:pPr>
              <w:jc w:val="center"/>
              <w:rPr>
                <w:rFonts w:ascii="仿宋" w:hAnsi="仿宋" w:eastAsia="仿宋" w:cs="仿宋"/>
              </w:rPr>
            </w:pPr>
            <w:r>
              <w:rPr>
                <w:rFonts w:hint="eastAsia" w:ascii="仿宋" w:hAnsi="仿宋" w:eastAsia="仿宋" w:cs="仿宋"/>
              </w:rPr>
              <w:t>杭电极客社团竞赛部人员，擅长文本报告PPT以及推文制作。</w:t>
            </w:r>
            <w:r>
              <w:rPr>
                <w:rFonts w:ascii="Cambria Math" w:hAnsi="Cambria Math" w:eastAsia="仿宋" w:cs="Cambria Math"/>
              </w:rPr>
              <w:t> </w:t>
            </w:r>
            <w:r>
              <w:rPr>
                <w:rFonts w:hint="eastAsia" w:ascii="仿宋" w:hAnsi="仿宋" w:eastAsia="仿宋" w:cs="仿宋"/>
              </w:rPr>
              <w:t>参与寒假实践活动、共青团员、学院心理站副站长、院科协活动部部长、班级心理委员，曾获得二等奖学金、单项奖学金各一次</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72" w:hRule="atLeast"/>
        </w:trPr>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申瑞琪</w:t>
            </w:r>
          </w:p>
        </w:tc>
        <w:tc>
          <w:tcPr>
            <w:tcW w:w="1188" w:type="dxa"/>
            <w:shd w:val="clear" w:color="auto" w:fill="C5E0B3" w:themeFill="accent6" w:themeFillTint="66"/>
          </w:tcPr>
          <w:p>
            <w:pPr>
              <w:jc w:val="center"/>
              <w:rPr>
                <w:rFonts w:ascii="仿宋" w:hAnsi="仿宋" w:eastAsia="仿宋" w:cs="仿宋"/>
              </w:rPr>
            </w:pPr>
            <w:r>
              <w:rPr>
                <w:rFonts w:hint="eastAsia" w:ascii="仿宋" w:hAnsi="仿宋" w:eastAsia="仿宋" w:cs="仿宋"/>
              </w:rPr>
              <w:t>市场部</w:t>
            </w:r>
          </w:p>
        </w:tc>
        <w:tc>
          <w:tcPr>
            <w:tcW w:w="6115" w:type="dxa"/>
            <w:shd w:val="clear" w:color="auto" w:fill="C5E0B3" w:themeFill="accent6" w:themeFillTint="66"/>
          </w:tcPr>
          <w:p>
            <w:pPr>
              <w:jc w:val="center"/>
              <w:rPr>
                <w:rFonts w:ascii="仿宋" w:hAnsi="仿宋" w:eastAsia="仿宋" w:cs="仿宋"/>
              </w:rPr>
            </w:pPr>
            <w:r>
              <w:rPr>
                <w:rFonts w:hint="eastAsia" w:ascii="仿宋" w:hAnsi="仿宋" w:eastAsia="仿宋" w:cs="仿宋"/>
              </w:rPr>
              <w:t>擅长文本、PPT以及板报绘画，入党积极分子、班级宣传委员、义警队队员，曾参加过志愿活动与寒假实践活动等</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540" w:hRule="atLeast"/>
        </w:trPr>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韩浩杰</w:t>
            </w:r>
          </w:p>
        </w:tc>
        <w:tc>
          <w:tcPr>
            <w:tcW w:w="1188" w:type="dxa"/>
            <w:shd w:val="clear" w:color="auto" w:fill="E2EFD9" w:themeFill="accent6" w:themeFillTint="33"/>
          </w:tcPr>
          <w:p>
            <w:pPr>
              <w:jc w:val="center"/>
              <w:rPr>
                <w:rFonts w:ascii="仿宋" w:hAnsi="仿宋" w:eastAsia="仿宋" w:cs="仿宋"/>
              </w:rPr>
            </w:pPr>
            <w:r>
              <w:rPr>
                <w:rFonts w:hint="eastAsia" w:ascii="仿宋" w:hAnsi="仿宋" w:eastAsia="仿宋" w:cs="仿宋"/>
              </w:rPr>
              <w:t>财务部</w:t>
            </w:r>
          </w:p>
        </w:tc>
        <w:tc>
          <w:tcPr>
            <w:tcW w:w="6115" w:type="dxa"/>
            <w:shd w:val="clear" w:color="auto" w:fill="E2EFD9" w:themeFill="accent6" w:themeFillTint="33"/>
          </w:tcPr>
          <w:p>
            <w:pPr>
              <w:jc w:val="center"/>
              <w:rPr>
                <w:rFonts w:ascii="仿宋" w:hAnsi="仿宋" w:eastAsia="仿宋" w:cs="仿宋"/>
              </w:rPr>
            </w:pPr>
            <w:r>
              <w:rPr>
                <w:rFonts w:hint="eastAsia" w:ascii="仿宋" w:hAnsi="仿宋" w:eastAsia="仿宋" w:cs="仿宋"/>
              </w:rPr>
              <w:t>获得校一等奖学金，校优秀团员，校四星级志愿者等称号。曾荣获eovs</w:t>
            </w:r>
            <w:r>
              <w:rPr>
                <w:rFonts w:ascii="Cambria Math" w:hAnsi="Cambria Math" w:eastAsia="仿宋" w:cs="Cambria Math"/>
              </w:rPr>
              <w:t> </w:t>
            </w:r>
            <w:r>
              <w:rPr>
                <w:rFonts w:hint="eastAsia" w:ascii="仿宋" w:hAnsi="仿宋" w:eastAsia="仿宋" w:cs="仿宋"/>
              </w:rPr>
              <w:t>企业模拟运营校二等奖、erp</w:t>
            </w:r>
            <w:r>
              <w:rPr>
                <w:rFonts w:ascii="Cambria Math" w:hAnsi="Cambria Math" w:eastAsia="仿宋" w:cs="Cambria Math"/>
              </w:rPr>
              <w:t> </w:t>
            </w:r>
            <w:r>
              <w:rPr>
                <w:rFonts w:hint="eastAsia" w:ascii="仿宋" w:hAnsi="仿宋" w:eastAsia="仿宋" w:cs="仿宋"/>
              </w:rPr>
              <w:t>沙盘模拟校二等奖，同时以负责人身份参加互联网+大赛、大创比赛，并进入校赛。曾实习于绍兴市越城区审计局，参加越城区团委2021“家燕归巢”大学生暑期社会实践成果宣讲会</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219" w:type="dxa"/>
            <w:tcBorders>
              <w:left w:val="single" w:color="FFFFFF" w:themeColor="background1" w:sz="4" w:space="0"/>
            </w:tcBorders>
            <w:shd w:val="clear" w:color="auto" w:fill="70AD47" w:themeFill="accent6"/>
          </w:tcPr>
          <w:p>
            <w:pPr>
              <w:jc w:val="center"/>
              <w:rPr>
                <w:rFonts w:ascii="仿宋" w:hAnsi="仿宋" w:eastAsia="仿宋" w:cs="仿宋"/>
                <w:b/>
                <w:bCs/>
                <w:color w:val="FFFFFF" w:themeColor="background1"/>
                <w14:textFill>
                  <w14:solidFill>
                    <w14:schemeClr w14:val="bg1"/>
                  </w14:solidFill>
                </w14:textFill>
              </w:rPr>
            </w:pPr>
            <w:r>
              <w:rPr>
                <w:rFonts w:hint="eastAsia" w:ascii="仿宋" w:hAnsi="仿宋" w:eastAsia="仿宋" w:cs="仿宋"/>
                <w:b/>
                <w:bCs/>
                <w:color w:val="FFFFFF" w:themeColor="background1"/>
                <w14:textFill>
                  <w14:solidFill>
                    <w14:schemeClr w14:val="bg1"/>
                  </w14:solidFill>
                </w14:textFill>
              </w:rPr>
              <w:t>杨圆园</w:t>
            </w:r>
          </w:p>
        </w:tc>
        <w:tc>
          <w:tcPr>
            <w:tcW w:w="1188" w:type="dxa"/>
            <w:shd w:val="clear" w:color="auto" w:fill="C5E0B3" w:themeFill="accent6" w:themeFillTint="66"/>
          </w:tcPr>
          <w:p>
            <w:pPr>
              <w:jc w:val="center"/>
              <w:rPr>
                <w:rFonts w:ascii="仿宋" w:hAnsi="仿宋" w:eastAsia="仿宋" w:cs="仿宋"/>
              </w:rPr>
            </w:pPr>
            <w:r>
              <w:rPr>
                <w:rFonts w:hint="eastAsia" w:ascii="仿宋" w:hAnsi="仿宋" w:eastAsia="仿宋" w:cs="仿宋"/>
              </w:rPr>
              <w:t>财务部</w:t>
            </w:r>
          </w:p>
        </w:tc>
        <w:tc>
          <w:tcPr>
            <w:tcW w:w="6115" w:type="dxa"/>
            <w:shd w:val="clear" w:color="auto" w:fill="C5E0B3" w:themeFill="accent6" w:themeFillTint="66"/>
          </w:tcPr>
          <w:p>
            <w:pPr>
              <w:jc w:val="center"/>
              <w:rPr>
                <w:rFonts w:ascii="仿宋" w:hAnsi="仿宋" w:eastAsia="仿宋" w:cs="仿宋"/>
              </w:rPr>
            </w:pPr>
            <w:r>
              <w:rPr>
                <w:rFonts w:hint="eastAsia" w:ascii="仿宋" w:hAnsi="仿宋" w:eastAsia="仿宋" w:cs="仿宋"/>
              </w:rPr>
              <w:t>获得过一次道德风尚单项奖学金，一次优秀团员。在竞赛方面，获得过ERP校二等奖</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219" w:type="dxa"/>
            <w:tcBorders>
              <w:left w:val="single" w:color="FFFFFF" w:themeColor="background1" w:sz="4" w:space="0"/>
              <w:bottom w:val="single" w:color="FFFFFF" w:themeColor="background1" w:sz="4" w:space="0"/>
            </w:tcBorders>
            <w:shd w:val="clear" w:color="auto" w:fill="70AD47" w:themeFill="accent6"/>
          </w:tcPr>
          <w:p>
            <w:pPr>
              <w:jc w:val="center"/>
              <w:rPr>
                <w:rFonts w:hint="eastAsia" w:ascii="仿宋" w:hAnsi="仿宋" w:eastAsia="仿宋" w:cs="仿宋"/>
                <w:b/>
                <w:bCs/>
                <w:color w:val="FFFFFF" w:themeColor="background1"/>
                <w:lang w:val="en-US" w:eastAsia="zh-CN"/>
                <w14:textFill>
                  <w14:solidFill>
                    <w14:schemeClr w14:val="bg1"/>
                  </w14:solidFill>
                </w14:textFill>
              </w:rPr>
            </w:pPr>
            <w:r>
              <w:rPr>
                <w:rFonts w:hint="eastAsia" w:ascii="仿宋" w:hAnsi="仿宋" w:eastAsia="仿宋" w:cs="仿宋"/>
                <w:b/>
                <w:bCs/>
                <w:color w:val="FFFFFF" w:themeColor="background1"/>
                <w:lang w:val="en-US" w:eastAsia="zh-CN"/>
                <w14:textFill>
                  <w14:solidFill>
                    <w14:schemeClr w14:val="bg1"/>
                  </w14:solidFill>
                </w14:textFill>
              </w:rPr>
              <w:t>沈苏阳</w:t>
            </w:r>
          </w:p>
        </w:tc>
        <w:tc>
          <w:tcPr>
            <w:tcW w:w="1188" w:type="dxa"/>
            <w:shd w:val="clear" w:color="auto" w:fill="E2EFD9" w:themeFill="accent6" w:themeFillTint="33"/>
          </w:tcPr>
          <w:p>
            <w:pPr>
              <w:jc w:val="center"/>
              <w:rPr>
                <w:rFonts w:ascii="仿宋" w:hAnsi="仿宋" w:eastAsia="仿宋" w:cs="仿宋"/>
              </w:rPr>
            </w:pPr>
            <w:r>
              <w:rPr>
                <w:rFonts w:hint="eastAsia" w:ascii="仿宋" w:hAnsi="仿宋" w:eastAsia="仿宋" w:cs="仿宋"/>
              </w:rPr>
              <w:t>财务部</w:t>
            </w:r>
          </w:p>
        </w:tc>
        <w:tc>
          <w:tcPr>
            <w:tcW w:w="6115" w:type="dxa"/>
            <w:shd w:val="clear" w:color="auto" w:fill="E2EFD9" w:themeFill="accent6" w:themeFillTint="33"/>
          </w:tcPr>
          <w:p>
            <w:pPr>
              <w:jc w:val="center"/>
              <w:rPr>
                <w:rFonts w:ascii="仿宋" w:hAnsi="仿宋" w:eastAsia="仿宋" w:cs="仿宋"/>
              </w:rPr>
            </w:pPr>
            <w:r>
              <w:rPr>
                <w:rFonts w:ascii="宋体" w:hAnsi="宋体" w:eastAsia="宋体" w:cs="宋体"/>
                <w:sz w:val="24"/>
                <w:szCs w:val="24"/>
              </w:rPr>
              <w:t>卓越学院智能财务专业，大一一年，裸绩位列年级前5%，获校一等奖学金，曾参加过浙江省案例分析大赛和电子商务大赛等各类创业竞赛，也参与过企业ERP模拟经营大赛，获得过各类竞赛奖项</w:t>
            </w:r>
          </w:p>
        </w:tc>
      </w:tr>
    </w:tbl>
    <w:p>
      <w:pPr>
        <w:jc w:val="center"/>
        <w:rPr>
          <w:rFonts w:ascii="仿宋" w:hAnsi="仿宋" w:eastAsia="仿宋" w:cs="仿宋"/>
        </w:rPr>
      </w:pPr>
      <w:bookmarkStart w:id="320" w:name="_Toc90339168"/>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4</w:t>
      </w:r>
      <w:r>
        <w:fldChar w:fldCharType="end"/>
      </w:r>
      <w:r>
        <w:rPr>
          <w:rFonts w:hint="eastAsia" w:ascii="宋体" w:hAnsi="宋体"/>
          <w:sz w:val="21"/>
          <w:szCs w:val="21"/>
        </w:rPr>
        <w:t>公司主要职工介绍</w:t>
      </w:r>
      <w:bookmarkEnd w:id="320"/>
    </w:p>
    <w:p>
      <w:pPr>
        <w:pStyle w:val="3"/>
        <w:rPr>
          <w:rFonts w:hint="eastAsia"/>
        </w:rPr>
      </w:pPr>
      <w:bookmarkStart w:id="321" w:name="_Toc4094"/>
      <w:bookmarkStart w:id="322" w:name="_Toc90339090"/>
      <w:bookmarkStart w:id="323" w:name="_Toc30452"/>
      <w:bookmarkStart w:id="324" w:name="_Toc29997"/>
      <w:bookmarkStart w:id="325" w:name="_Toc23905"/>
      <w:r>
        <w:rPr>
          <w:rFonts w:hint="eastAsia"/>
        </w:rPr>
        <w:t>公司总体战略</w:t>
      </w:r>
      <w:bookmarkEnd w:id="321"/>
      <w:bookmarkEnd w:id="322"/>
      <w:bookmarkEnd w:id="323"/>
      <w:bookmarkEnd w:id="324"/>
      <w:bookmarkEnd w:id="325"/>
    </w:p>
    <w:p>
      <w:pPr>
        <w:pStyle w:val="4"/>
      </w:pPr>
      <w:bookmarkStart w:id="326" w:name="_Toc24334"/>
      <w:bookmarkStart w:id="327" w:name="_Toc2178"/>
      <w:bookmarkStart w:id="328" w:name="_Toc26421"/>
      <w:bookmarkStart w:id="329" w:name="_Toc11899"/>
      <w:bookmarkStart w:id="330" w:name="_Toc90339091"/>
      <w:r>
        <w:rPr>
          <w:rFonts w:hint="eastAsia"/>
        </w:rPr>
        <w:t>发展初期</w:t>
      </w:r>
      <w:bookmarkEnd w:id="326"/>
      <w:bookmarkEnd w:id="327"/>
      <w:bookmarkEnd w:id="328"/>
      <w:bookmarkEnd w:id="329"/>
      <w:bookmarkEnd w:id="330"/>
    </w:p>
    <w:p>
      <w:pPr>
        <w:pStyle w:val="37"/>
        <w:ind w:firstLine="560"/>
      </w:pPr>
      <w:r>
        <w:rPr>
          <w:rFonts w:hint="eastAsia"/>
        </w:rPr>
        <w:t>（线下产品定点测试，高针对性推广；线上产品通过网络，全国范围内推广）</w:t>
      </w:r>
    </w:p>
    <w:p>
      <w:pPr>
        <w:pStyle w:val="37"/>
        <w:ind w:firstLine="560"/>
      </w:pPr>
      <w:r>
        <w:rPr>
          <w:rFonts w:hint="eastAsia"/>
          <w:color w:val="auto"/>
        </w:rPr>
        <w:t>发展初期是公司发展的基础阶段，在其间公司所形成的组织架构与发展方向直接影响着未来中后期公司的发展。为此在初步发展阶段我们制定了如下的发展计划：</w:t>
      </w:r>
    </w:p>
    <w:p>
      <w:pPr>
        <w:pStyle w:val="37"/>
        <w:ind w:firstLine="560"/>
      </w:pPr>
      <w:r>
        <w:rPr>
          <w:rFonts w:hint="eastAsia"/>
          <w:color w:val="auto"/>
        </w:rPr>
        <w:t>公司首先在杭州进行注册登记，明确未来一段时间的公司发展方向，并初步确立本公司的经营理念与基本制度。为公司的发展迈出关键性的第一步。</w:t>
      </w:r>
    </w:p>
    <w:p>
      <w:pPr>
        <w:pStyle w:val="37"/>
        <w:ind w:firstLine="560"/>
      </w:pPr>
      <w:r>
        <w:rPr>
          <w:rFonts w:hint="eastAsia"/>
          <w:color w:val="auto"/>
        </w:rPr>
        <w:t>明确与乡村养蚕合作社达成合作意向，有效整合各种社会资源，进行产品初步实战性评测与优化。</w:t>
      </w:r>
    </w:p>
    <w:p>
      <w:pPr>
        <w:pStyle w:val="37"/>
        <w:ind w:firstLine="560"/>
      </w:pPr>
      <w:r>
        <w:rPr>
          <w:rFonts w:hint="eastAsia"/>
          <w:color w:val="auto"/>
        </w:rPr>
        <w:t>于此同时，通过与各个乡村蚕养殖机构的线下合作，可以进一步对产品进行针对于蚕养殖户这类特定受众的推广宣传。为产品正式走入市场做好充足的准备。</w:t>
      </w:r>
    </w:p>
    <w:p>
      <w:pPr>
        <w:pStyle w:val="37"/>
        <w:ind w:firstLine="560"/>
      </w:pPr>
      <w:r>
        <w:rPr>
          <w:rFonts w:hint="eastAsia"/>
          <w:color w:val="auto"/>
        </w:rPr>
        <w:t>注重公司在创办发展初期的产品质量，重点维护公司的服务水准与市场口碑，并在线上面向全国进行推广。</w:t>
      </w:r>
    </w:p>
    <w:p>
      <w:pPr>
        <w:rPr>
          <w:rFonts w:ascii="仿宋" w:hAnsi="仿宋" w:eastAsia="仿宋" w:cs="仿宋"/>
        </w:rPr>
      </w:pPr>
    </w:p>
    <w:p>
      <w:pPr>
        <w:pStyle w:val="4"/>
      </w:pPr>
      <w:bookmarkStart w:id="331" w:name="_Toc17311"/>
      <w:bookmarkStart w:id="332" w:name="_Toc26000"/>
      <w:bookmarkStart w:id="333" w:name="_Toc1735"/>
      <w:bookmarkStart w:id="334" w:name="_Toc90339092"/>
      <w:bookmarkStart w:id="335" w:name="_Toc11720"/>
      <w:r>
        <w:rPr>
          <w:rFonts w:hint="eastAsia"/>
        </w:rPr>
        <w:t>发展中期</w:t>
      </w:r>
      <w:bookmarkEnd w:id="331"/>
      <w:bookmarkEnd w:id="332"/>
      <w:bookmarkEnd w:id="333"/>
      <w:bookmarkEnd w:id="334"/>
      <w:bookmarkEnd w:id="335"/>
    </w:p>
    <w:p>
      <w:pPr>
        <w:pStyle w:val="37"/>
        <w:ind w:firstLine="560"/>
      </w:pPr>
      <w:r>
        <w:rPr>
          <w:rFonts w:hint="eastAsia"/>
        </w:rPr>
        <w:t>公司在发展中期阶段的战略目标逐步转为：明确公司发展定位、积极联络各方资源和制定公司战略措施安排。</w:t>
      </w:r>
    </w:p>
    <w:p>
      <w:pPr>
        <w:pStyle w:val="37"/>
        <w:ind w:firstLine="560"/>
      </w:pPr>
      <w:r>
        <w:rPr>
          <w:rFonts w:hint="eastAsia"/>
        </w:rPr>
        <w:t>公司发展定位：在公司初期成果逐步稳定后，为了公司的长远发展，公司必须存在清晰准确的公司定位。其主要目的是明确公司今后的发展方向和发展目标。Silk Mate定位：总结发展初期公司内的切实问题并予以积极解决。完善前期与各合作社的合作关系，并进一步扩大合作意向方，提高服务品质，扩大服务范围。</w:t>
      </w:r>
    </w:p>
    <w:p>
      <w:pPr>
        <w:pStyle w:val="37"/>
        <w:ind w:firstLine="560"/>
      </w:pPr>
      <w:r>
        <w:rPr>
          <w:rFonts w:hint="eastAsia"/>
        </w:rPr>
        <w:t>广泛对接资源：公司若要不断发展壮大就要不断汲取各种外部资源。包括人力、物质、空间资源等。在物质资源方面，我们会根据公司实际需要与发展的切实情况升级设备，一切为向用户提供更好的服务而准备。在人力资源方面，我们会不断与相关机构保持密切联系，不断沟通磨合，产出特色合作模式，实现良性循环。</w:t>
      </w:r>
    </w:p>
    <w:p>
      <w:pPr>
        <w:pStyle w:val="37"/>
        <w:ind w:firstLine="560"/>
        <w:rPr>
          <w:rFonts w:hint="eastAsia"/>
        </w:rPr>
      </w:pPr>
      <w:r>
        <w:rPr>
          <w:rFonts w:hint="eastAsia"/>
        </w:rPr>
        <w:t>战略措施的制定：当公司遇到重大变革时期，随着公司的不断扩大，其经营模式和资源管理架构都将发生改变。应总结过往经验，取其精华去其糟粕,广纳人才，积极创新。</w:t>
      </w:r>
    </w:p>
    <w:p>
      <w:pPr>
        <w:pStyle w:val="4"/>
      </w:pPr>
      <w:bookmarkStart w:id="336" w:name="_Toc5592"/>
      <w:bookmarkStart w:id="337" w:name="_Toc29567"/>
      <w:bookmarkStart w:id="338" w:name="_Toc10862"/>
      <w:bookmarkStart w:id="339" w:name="_Toc90339093"/>
      <w:bookmarkStart w:id="340" w:name="_Toc29572"/>
      <w:r>
        <w:rPr>
          <w:rFonts w:hint="eastAsia"/>
        </w:rPr>
        <w:t>发展后期</w:t>
      </w:r>
      <w:bookmarkEnd w:id="336"/>
      <w:bookmarkEnd w:id="337"/>
      <w:bookmarkEnd w:id="338"/>
      <w:bookmarkEnd w:id="339"/>
      <w:bookmarkEnd w:id="340"/>
    </w:p>
    <w:p>
      <w:pPr>
        <w:pStyle w:val="37"/>
        <w:ind w:firstLine="560"/>
        <w:sectPr>
          <w:pgSz w:w="11906" w:h="16838"/>
          <w:pgMar w:top="1440" w:right="1800" w:bottom="1440" w:left="1800" w:header="851" w:footer="992" w:gutter="0"/>
          <w:cols w:space="425" w:num="1"/>
          <w:docGrid w:type="lines" w:linePitch="312" w:charSpace="0"/>
        </w:sectPr>
      </w:pPr>
      <w:r>
        <w:rPr>
          <w:rFonts w:hint="eastAsia"/>
        </w:rPr>
        <w:t>在公司发展后期，关于公司主线业务已经达到完善成熟。在此基础上，公司逐步用主线产业带动发展支线业务，用支线业务辅助稳固主线业务市场。促进达成全覆盖业务范围，努力成为行业长期领跑者，最大程度上为响应国家号召、实现共同富裕与乡村振兴贡献出属于我们的一份力量。</w:t>
      </w:r>
      <w:bookmarkStart w:id="341" w:name="OLE_LINK5"/>
    </w:p>
    <w:bookmarkEnd w:id="341"/>
    <w:p>
      <w:pPr>
        <w:pStyle w:val="2"/>
        <w:rPr>
          <w:rFonts w:ascii="黑体" w:hAnsi="黑体" w:eastAsia="黑体"/>
          <w:sz w:val="32"/>
          <w:szCs w:val="32"/>
        </w:rPr>
      </w:pPr>
      <w:bookmarkStart w:id="342" w:name="_Toc17628"/>
      <w:bookmarkStart w:id="343" w:name="_Toc16237"/>
      <w:bookmarkStart w:id="344" w:name="_Toc18664"/>
      <w:bookmarkStart w:id="345" w:name="_Toc11006"/>
      <w:bookmarkStart w:id="346" w:name="_Toc1168"/>
      <w:bookmarkStart w:id="347" w:name="_Toc90339094"/>
      <w:r>
        <w:rPr>
          <w:rFonts w:hint="eastAsia" w:ascii="黑体" w:hAnsi="黑体" w:eastAsia="黑体"/>
          <w:sz w:val="32"/>
          <w:szCs w:val="32"/>
        </w:rPr>
        <w:t>营销策略</w:t>
      </w:r>
      <w:bookmarkEnd w:id="342"/>
      <w:bookmarkEnd w:id="343"/>
      <w:bookmarkEnd w:id="344"/>
      <w:bookmarkEnd w:id="345"/>
      <w:bookmarkEnd w:id="346"/>
      <w:bookmarkEnd w:id="347"/>
    </w:p>
    <w:p>
      <w:pPr>
        <w:pStyle w:val="3"/>
      </w:pPr>
      <w:bookmarkStart w:id="348" w:name="_Toc21046"/>
      <w:bookmarkStart w:id="349" w:name="_Toc90339095"/>
      <w:bookmarkStart w:id="350" w:name="_Toc19358"/>
      <w:r>
        <w:rPr>
          <w:rFonts w:hint="eastAsia"/>
        </w:rPr>
        <w:t>营销策略综述</w:t>
      </w:r>
      <w:bookmarkEnd w:id="348"/>
      <w:bookmarkEnd w:id="349"/>
      <w:bookmarkEnd w:id="350"/>
    </w:p>
    <w:p>
      <w:pPr>
        <w:pStyle w:val="4"/>
      </w:pPr>
      <w:bookmarkStart w:id="351" w:name="_Toc90339096"/>
      <w:bookmarkStart w:id="352" w:name="_Toc17470"/>
      <w:bookmarkStart w:id="353" w:name="_Toc3111"/>
      <w:r>
        <w:rPr>
          <w:rFonts w:hint="eastAsia"/>
        </w:rPr>
        <w:t>营销理念</w:t>
      </w:r>
      <w:bookmarkEnd w:id="351"/>
      <w:bookmarkEnd w:id="352"/>
      <w:bookmarkEnd w:id="353"/>
    </w:p>
    <w:p>
      <w:pPr>
        <w:pStyle w:val="37"/>
        <w:ind w:firstLine="560"/>
      </w:pPr>
      <w:r>
        <w:rPr>
          <w:rFonts w:hint="eastAsia"/>
        </w:rPr>
        <w:t>营销理念是企业营销活动的指导思想，是有效实现市场营销功能的基本条件。市场营销理念正确与否，直接关系到企业营销活动的质量，技巧及其成效。简单的说就是：不断追求产品、服务、营销的差异性，靠差异性获取竞争优势。</w:t>
      </w:r>
    </w:p>
    <w:p>
      <w:pPr>
        <w:pStyle w:val="37"/>
        <w:ind w:firstLine="560"/>
        <w:rPr>
          <w:rFonts w:hint="eastAsia"/>
        </w:rPr>
      </w:pPr>
      <w:r>
        <w:rPr>
          <w:rFonts w:hint="eastAsia"/>
        </w:rPr>
        <w:t>本团队以“获取最大利润”和“满足用户需求”为营销策略的核心理念，同时积极响应国家政策，运用互联网、人工智能技术，补足数字化农业市场特别是桑蚕行业的这块巨大空白。通过预测、趋势分析和实时数据分析等人工智能技术来帮助企业分析营销的有效性，因材施教地对营销理念与战略</w:t>
      </w:r>
      <w:r>
        <w:rPr>
          <w:rFonts w:hint="eastAsia" w:ascii="微软雅黑" w:hAnsi="微软雅黑" w:eastAsia="微软雅黑" w:cs="微软雅黑"/>
        </w:rPr>
        <w:t>⽅</w:t>
      </w:r>
      <w:r>
        <w:rPr>
          <w:rFonts w:hint="eastAsia" w:ascii="仿宋" w:hAnsi="仿宋"/>
        </w:rPr>
        <w:t>案进</w:t>
      </w:r>
      <w:r>
        <w:rPr>
          <w:rFonts w:hint="eastAsia" w:ascii="微软雅黑" w:hAnsi="微软雅黑" w:eastAsia="微软雅黑" w:cs="微软雅黑"/>
        </w:rPr>
        <w:t>⾏</w:t>
      </w:r>
      <w:r>
        <w:rPr>
          <w:rFonts w:hint="eastAsia" w:ascii="仿宋" w:hAnsi="仿宋"/>
        </w:rPr>
        <w:t>改善，以推动企业成长发展。</w:t>
      </w:r>
    </w:p>
    <w:p>
      <w:pPr>
        <w:pStyle w:val="4"/>
      </w:pPr>
      <w:bookmarkStart w:id="354" w:name="_Toc28760"/>
      <w:bookmarkStart w:id="355" w:name="_Toc9210"/>
      <w:bookmarkStart w:id="356" w:name="_Toc23966"/>
      <w:bookmarkStart w:id="357" w:name="_Toc30331"/>
      <w:bookmarkStart w:id="358" w:name="_Toc90339097"/>
      <w:r>
        <w:rPr>
          <w:rFonts w:hint="eastAsia"/>
        </w:rPr>
        <w:t>总体方向</w:t>
      </w:r>
      <w:bookmarkEnd w:id="354"/>
      <w:bookmarkEnd w:id="355"/>
      <w:bookmarkEnd w:id="356"/>
      <w:bookmarkEnd w:id="357"/>
      <w:bookmarkEnd w:id="358"/>
    </w:p>
    <w:p>
      <w:pPr>
        <w:pStyle w:val="37"/>
        <w:ind w:firstLine="560"/>
        <w:rPr>
          <w:rFonts w:hint="eastAsia"/>
        </w:rPr>
      </w:pPr>
      <w:r>
        <w:rPr>
          <w:rFonts w:hint="eastAsia"/>
        </w:rPr>
        <w:t>团队在线下进行产品定点测试，将目标高针对性的集中于蚕养殖特色区进行推广，与具有蚕养殖特色的农村合作社达成合作关系，帮助我们在蚕养殖户之中进行精准对口宣传；在线上通过网络对产品进行全国范围内推广，较低针对性的将广告投向蚕养殖相关的交流网站，并且利用大数据对有蚕养殖需求的人进行宣传。</w:t>
      </w:r>
    </w:p>
    <w:p>
      <w:pPr>
        <w:pStyle w:val="4"/>
      </w:pPr>
      <w:bookmarkStart w:id="359" w:name="_Toc14884"/>
      <w:bookmarkStart w:id="360" w:name="_Toc90339098"/>
      <w:bookmarkStart w:id="361" w:name="_Toc1085"/>
      <w:r>
        <w:rPr>
          <w:rFonts w:hint="eastAsia"/>
        </w:rPr>
        <w:t>推广计划</w:t>
      </w:r>
      <w:bookmarkEnd w:id="359"/>
      <w:bookmarkEnd w:id="360"/>
      <w:bookmarkEnd w:id="361"/>
    </w:p>
    <w:p>
      <w:pPr>
        <w:pStyle w:val="37"/>
        <w:ind w:firstLine="560"/>
      </w:pPr>
      <w:r>
        <w:rPr>
          <w:rFonts w:hint="eastAsia"/>
        </w:rPr>
        <w:t>（1）起步阶段：2021年9月——2024年9月</w:t>
      </w:r>
    </w:p>
    <w:p>
      <w:pPr>
        <w:pStyle w:val="37"/>
        <w:ind w:firstLine="560"/>
      </w:pPr>
      <w:r>
        <w:rPr>
          <w:rFonts w:hint="eastAsia"/>
        </w:rPr>
        <w:t>夯实根基，品牌建设</w:t>
      </w:r>
    </w:p>
    <w:p>
      <w:pPr>
        <w:pStyle w:val="37"/>
        <w:ind w:firstLine="560"/>
      </w:pPr>
      <w:r>
        <w:rPr>
          <w:rFonts w:hint="eastAsia"/>
        </w:rPr>
        <w:t>（2）扩张阶段：2024年9月——2025年9月</w:t>
      </w:r>
    </w:p>
    <w:p>
      <w:pPr>
        <w:pStyle w:val="37"/>
        <w:ind w:firstLine="560"/>
      </w:pPr>
      <w:r>
        <w:rPr>
          <w:rFonts w:hint="eastAsia"/>
        </w:rPr>
        <w:t>扩大产业链条，提高公司收益</w:t>
      </w:r>
    </w:p>
    <w:p>
      <w:pPr>
        <w:pStyle w:val="37"/>
        <w:ind w:firstLine="560"/>
      </w:pPr>
      <w:r>
        <w:rPr>
          <w:rFonts w:hint="eastAsia"/>
        </w:rPr>
        <w:t>（3）成熟阶段：2025年9月——2027年9月</w:t>
      </w:r>
    </w:p>
    <w:p>
      <w:pPr>
        <w:pStyle w:val="37"/>
        <w:ind w:firstLine="560"/>
        <w:rPr>
          <w:rFonts w:hint="eastAsia"/>
        </w:rPr>
      </w:pPr>
      <w:r>
        <w:rPr>
          <w:rFonts w:hint="eastAsia"/>
        </w:rPr>
        <w:t>打造成熟品牌，持续优化创新</w:t>
      </w:r>
    </w:p>
    <w:p>
      <w:pPr>
        <w:pStyle w:val="3"/>
      </w:pPr>
      <w:bookmarkStart w:id="362" w:name="_Toc3942"/>
      <w:bookmarkStart w:id="363" w:name="_Toc18322"/>
      <w:bookmarkStart w:id="364" w:name="_Toc5103"/>
      <w:bookmarkStart w:id="365" w:name="_Toc90339099"/>
      <w:bookmarkStart w:id="366" w:name="_Toc16962"/>
      <w:r>
        <w:rPr>
          <w:rFonts w:hint="eastAsia"/>
        </w:rPr>
        <w:t>产品策略（product）</w:t>
      </w:r>
      <w:bookmarkEnd w:id="362"/>
      <w:bookmarkEnd w:id="363"/>
      <w:bookmarkEnd w:id="364"/>
      <w:bookmarkEnd w:id="365"/>
      <w:bookmarkEnd w:id="366"/>
    </w:p>
    <w:p>
      <w:pPr>
        <w:pStyle w:val="37"/>
        <w:ind w:firstLine="560"/>
      </w:pPr>
      <w:r>
        <w:rPr>
          <w:rFonts w:hint="eastAsia"/>
        </w:rPr>
        <w:t>Silk Mate通过农业养殖技术与信息技术相结合，运用系统实时监控和图像识别对蚕的不同种类形态、同类蚕的不同生长阶段、蚕的养殖环境进行识别和反馈，辅助养殖户进行决策，扩大桑蚕养殖数量，丰富桑蚕品种类别，提高桑蚕产品质量。针对当下蚕桑养殖市场缺少专业科学技术人员，缺少拥有较高养殖理论水平人员，同时劳动力严重不足，本产品的出现能有效解决上述问题。</w:t>
      </w:r>
    </w:p>
    <w:p>
      <w:pPr>
        <w:pStyle w:val="37"/>
        <w:ind w:firstLine="560"/>
      </w:pPr>
      <w:r>
        <w:rPr>
          <w:rFonts w:hint="eastAsia"/>
        </w:rPr>
        <w:t>同时，Silk Mate将AIoT和嵌入式和微信小程序相结合，采用边缘计算的AIoT模式，以搭载SOC系统级芯片的JetsonNano作为边缘算力中心，进一步减小了通信压力，降低普通人的使用门槛，使得客户可以在微信小程序客户端即可实现相关操作，简单便捷，上手快，可操作性强，对手机性能没有特别高的要求。</w:t>
      </w:r>
    </w:p>
    <w:p>
      <w:pPr>
        <w:pStyle w:val="37"/>
        <w:ind w:firstLine="560"/>
      </w:pPr>
      <w:r>
        <w:rPr>
          <w:rFonts w:hint="eastAsia"/>
        </w:rPr>
        <w:t>在发展到一定量的客户基础上，团队会持续对产品进行更新迭代，对核心技术不断更新和完善，保持竞争力，客户可以选择通过进一步购买升级服务，来获得新一代的产品，扩大养殖收益。</w:t>
      </w:r>
      <w:bookmarkStart w:id="367" w:name="_Toc9326"/>
      <w:bookmarkStart w:id="368" w:name="_Toc880"/>
    </w:p>
    <w:p>
      <w:pPr>
        <w:pStyle w:val="37"/>
        <w:ind w:firstLine="560"/>
      </w:pPr>
      <w:r>
        <w:rPr>
          <w:rFonts w:hint="eastAsia"/>
        </w:rPr>
        <w:t>而我们在推出主产品不断提高有形产品质量的同时也会着眼于其他延申产品的形成与完善，进而在行业竞争中取得最大竞争优势。</w:t>
      </w:r>
    </w:p>
    <w:p>
      <w:pPr>
        <w:pStyle w:val="37"/>
        <w:ind w:firstLine="560"/>
        <w:rPr>
          <w:rFonts w:hint="eastAsia"/>
        </w:rPr>
      </w:pPr>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05"/>
        <w:gridCol w:w="7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05" w:type="dxa"/>
            <w:tcBorders>
              <w:top w:val="single" w:color="70AD47" w:themeColor="accent6" w:sz="12" w:space="0"/>
              <w:left w:val="single" w:color="70AD47" w:themeColor="accent6" w:sz="12" w:space="0"/>
              <w:bottom w:val="single" w:color="70AD47" w:themeColor="accent6" w:sz="12" w:space="0"/>
              <w:right w:val="single" w:color="70AD47" w:themeColor="accent6" w:sz="12" w:space="0"/>
            </w:tcBorders>
          </w:tcPr>
          <w:p>
            <w:p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售前服务</w:t>
            </w:r>
          </w:p>
        </w:tc>
        <w:tc>
          <w:tcPr>
            <w:tcW w:w="7117" w:type="dxa"/>
            <w:tcBorders>
              <w:top w:val="single" w:color="70AD47" w:themeColor="accent6" w:sz="12" w:space="0"/>
              <w:left w:val="single" w:color="70AD47" w:themeColor="accent6" w:sz="12" w:space="0"/>
              <w:bottom w:val="single" w:color="70AD47" w:themeColor="accent6" w:sz="12" w:space="0"/>
              <w:right w:val="single" w:color="70AD47" w:themeColor="accent6" w:sz="12" w:space="0"/>
            </w:tcBorders>
          </w:tcPr>
          <w:p>
            <w:pPr>
              <w:numPr>
                <w:ilvl w:val="0"/>
                <w:numId w:val="4"/>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在过往数据中提取目标受众的具体需求状况，根据受众目标的不同提供不同的服务模式。</w:t>
            </w:r>
          </w:p>
          <w:p>
            <w:pPr>
              <w:numPr>
                <w:ilvl w:val="0"/>
                <w:numId w:val="4"/>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团队客服为客户答疑解惑，排除使用顾虑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05" w:type="dxa"/>
            <w:tcBorders>
              <w:top w:val="single" w:color="70AD47" w:themeColor="accent6" w:sz="12" w:space="0"/>
              <w:left w:val="single" w:color="70AD47" w:themeColor="accent6" w:sz="12" w:space="0"/>
              <w:bottom w:val="single" w:color="70AD47" w:themeColor="accent6" w:sz="12" w:space="0"/>
              <w:right w:val="single" w:color="70AD47" w:themeColor="accent6" w:sz="12" w:space="0"/>
            </w:tcBorders>
          </w:tcPr>
          <w:p>
            <w:p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售中服务</w:t>
            </w:r>
          </w:p>
        </w:tc>
        <w:tc>
          <w:tcPr>
            <w:tcW w:w="7117" w:type="dxa"/>
            <w:tcBorders>
              <w:top w:val="single" w:color="70AD47" w:themeColor="accent6" w:sz="12" w:space="0"/>
              <w:left w:val="single" w:color="70AD47" w:themeColor="accent6" w:sz="12" w:space="0"/>
              <w:bottom w:val="single" w:color="70AD47" w:themeColor="accent6" w:sz="12" w:space="0"/>
              <w:right w:val="single" w:color="70AD47" w:themeColor="accent6" w:sz="12" w:space="0"/>
            </w:tcBorders>
          </w:tcPr>
          <w:p>
            <w:pPr>
              <w:numPr>
                <w:ilvl w:val="0"/>
                <w:numId w:val="5"/>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建立完善的销售网络与销售渠道。</w:t>
            </w:r>
          </w:p>
          <w:p>
            <w:pPr>
              <w:numPr>
                <w:ilvl w:val="0"/>
                <w:numId w:val="5"/>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与顾客进行充分沟通，确保提前了解顾客的实际需要，可按需提供不同特色化定制产品。</w:t>
            </w:r>
          </w:p>
          <w:p>
            <w:pPr>
              <w:numPr>
                <w:ilvl w:val="0"/>
                <w:numId w:val="5"/>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支持分期付款等商业模式。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05" w:type="dxa"/>
            <w:tcBorders>
              <w:top w:val="single" w:color="70AD47" w:themeColor="accent6" w:sz="12" w:space="0"/>
              <w:left w:val="single" w:color="70AD47" w:themeColor="accent6" w:sz="12" w:space="0"/>
              <w:bottom w:val="single" w:color="70AD47" w:themeColor="accent6" w:sz="12" w:space="0"/>
              <w:right w:val="single" w:color="70AD47" w:themeColor="accent6" w:sz="12" w:space="0"/>
            </w:tcBorders>
          </w:tcPr>
          <w:p>
            <w:p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售后服务</w:t>
            </w:r>
          </w:p>
        </w:tc>
        <w:tc>
          <w:tcPr>
            <w:tcW w:w="7117" w:type="dxa"/>
            <w:tcBorders>
              <w:top w:val="single" w:color="70AD47" w:themeColor="accent6" w:sz="12" w:space="0"/>
              <w:left w:val="single" w:color="70AD47" w:themeColor="accent6" w:sz="12" w:space="0"/>
              <w:bottom w:val="single" w:color="70AD47" w:themeColor="accent6" w:sz="12" w:space="0"/>
              <w:right w:val="single" w:color="70AD47" w:themeColor="accent6" w:sz="12" w:space="0"/>
            </w:tcBorders>
          </w:tcPr>
          <w:p>
            <w:pPr>
              <w:numPr>
                <w:ilvl w:val="0"/>
                <w:numId w:val="6"/>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提供送货上门，专人安装等服务，确保产品可以正常投入使用。</w:t>
            </w:r>
          </w:p>
          <w:p>
            <w:pPr>
              <w:numPr>
                <w:ilvl w:val="0"/>
                <w:numId w:val="6"/>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举办相关员工的技术培训。</w:t>
            </w:r>
          </w:p>
          <w:p>
            <w:pPr>
              <w:numPr>
                <w:ilvl w:val="0"/>
                <w:numId w:val="6"/>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使用三年期限内保修制度，员工负责故障仪器的检修工作。</w:t>
            </w:r>
          </w:p>
          <w:p>
            <w:pPr>
              <w:numPr>
                <w:ilvl w:val="0"/>
                <w:numId w:val="6"/>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创建产品使用交流平台，搭建用户的使用分享沟通桥梁。</w:t>
            </w:r>
          </w:p>
          <w:p>
            <w:pPr>
              <w:numPr>
                <w:ilvl w:val="0"/>
                <w:numId w:val="6"/>
              </w:numPr>
              <w:rPr>
                <w:rFonts w:ascii="仿宋" w:hAnsi="仿宋" w:eastAsia="仿宋" w:cs="仿宋"/>
                <w:color w:val="000000"/>
                <w:shd w:val="clear" w:color="auto" w:fill="FFFFFF"/>
              </w:rPr>
            </w:pPr>
            <w:r>
              <w:rPr>
                <w:rFonts w:hint="eastAsia" w:ascii="仿宋" w:hAnsi="仿宋" w:eastAsia="仿宋" w:cs="仿宋"/>
                <w:color w:val="000000"/>
                <w:shd w:val="clear" w:color="auto" w:fill="FFFFFF"/>
              </w:rPr>
              <w:t>建立产品信息反馈机制，包括销售渠道的反馈与使用过程中的信息采集，根据实际需求对产品进行一定程度上的针对性调整。</w:t>
            </w:r>
          </w:p>
        </w:tc>
      </w:tr>
    </w:tbl>
    <w:p>
      <w:pPr>
        <w:jc w:val="center"/>
        <w:rPr>
          <w:rFonts w:ascii="宋体" w:hAnsi="宋体"/>
          <w:sz w:val="21"/>
          <w:szCs w:val="21"/>
        </w:rPr>
      </w:pPr>
      <w:bookmarkStart w:id="369" w:name="_Toc90339169"/>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5</w:t>
      </w:r>
      <w:r>
        <w:fldChar w:fldCharType="end"/>
      </w:r>
      <w:r>
        <w:rPr>
          <w:rFonts w:hint="eastAsia" w:ascii="宋体" w:hAnsi="宋体"/>
          <w:sz w:val="21"/>
          <w:szCs w:val="21"/>
        </w:rPr>
        <w:t>服务</w:t>
      </w:r>
      <w:bookmarkEnd w:id="369"/>
    </w:p>
    <w:p>
      <w:pPr>
        <w:rPr>
          <w:rFonts w:hint="eastAsia"/>
        </w:rPr>
      </w:pPr>
    </w:p>
    <w:p>
      <w:pPr>
        <w:pStyle w:val="37"/>
        <w:ind w:firstLine="560"/>
      </w:pPr>
      <w:r>
        <w:rPr>
          <w:rFonts w:hint="eastAsia"/>
        </w:rPr>
        <w:t>通过蚕桑业的数字化转型和发展，在蚕桑业“东桑西移”工程实施过程中，极大地优化与调整了产业结构，以融合网络信息技术带动丝绸文化的发展，打开产品品牌效应。</w:t>
      </w:r>
    </w:p>
    <w:bookmarkEnd w:id="367"/>
    <w:bookmarkEnd w:id="368"/>
    <w:p>
      <w:pPr>
        <w:pStyle w:val="3"/>
      </w:pPr>
      <w:bookmarkStart w:id="370" w:name="_Toc90339100"/>
      <w:bookmarkStart w:id="371" w:name="_Toc5172"/>
      <w:bookmarkStart w:id="372" w:name="_Toc21035"/>
      <w:r>
        <w:rPr>
          <w:rFonts w:hint="eastAsia"/>
        </w:rPr>
        <w:t>价格策略（price）</w:t>
      </w:r>
      <w:bookmarkEnd w:id="370"/>
      <w:bookmarkEnd w:id="371"/>
      <w:bookmarkEnd w:id="372"/>
    </w:p>
    <w:p>
      <w:pPr>
        <w:pStyle w:val="4"/>
        <w:rPr>
          <w:shd w:val="clear" w:color="auto" w:fill="FFFFFF"/>
        </w:rPr>
      </w:pPr>
      <w:bookmarkStart w:id="373" w:name="_Toc90339101"/>
      <w:bookmarkStart w:id="374" w:name="_Toc18125"/>
      <w:bookmarkStart w:id="375" w:name="_Toc16649"/>
      <w:r>
        <w:rPr>
          <w:rFonts w:hint="eastAsia"/>
          <w:shd w:val="clear" w:color="auto" w:fill="FFFFFF"/>
        </w:rPr>
        <w:t>差别化定价</w:t>
      </w:r>
      <w:bookmarkEnd w:id="373"/>
      <w:bookmarkEnd w:id="374"/>
      <w:bookmarkEnd w:id="375"/>
    </w:p>
    <w:p>
      <w:pPr>
        <w:pStyle w:val="37"/>
        <w:ind w:firstLine="560"/>
      </w:pPr>
      <w:r>
        <w:rPr>
          <w:rFonts w:hint="eastAsia"/>
        </w:rPr>
        <w:t>适度让利于合作方和经销商;针对"Silk Mate——个体户、农村合作社渠道",与签约商商议，采取市场渗透定价法定价;针对"Silk Mate―—经销商——个体户、农村合作社渠道"，采取成本加成法定价。</w:t>
      </w:r>
    </w:p>
    <w:p>
      <w:pPr>
        <w:pStyle w:val="4"/>
        <w:rPr>
          <w:shd w:val="clear" w:color="auto" w:fill="FFFFFF"/>
        </w:rPr>
      </w:pPr>
      <w:bookmarkStart w:id="376" w:name="_Toc15996"/>
      <w:bookmarkStart w:id="377" w:name="_Toc25691"/>
      <w:bookmarkStart w:id="378" w:name="_Toc90339102"/>
      <w:r>
        <w:rPr>
          <w:rFonts w:hint="eastAsia"/>
          <w:shd w:val="clear" w:color="auto" w:fill="FFFFFF"/>
        </w:rPr>
        <w:t>分期价格管理</w:t>
      </w:r>
      <w:bookmarkEnd w:id="376"/>
      <w:bookmarkEnd w:id="377"/>
      <w:bookmarkEnd w:id="378"/>
    </w:p>
    <w:p>
      <w:pPr>
        <w:pStyle w:val="37"/>
        <w:ind w:firstLine="560"/>
      </w:pPr>
      <w:r>
        <w:rPr>
          <w:rFonts w:hint="eastAsia"/>
        </w:rPr>
        <w:t>本公司产品作为新技术产品，初期以较低的价格进入市场,占领市场份额;随着生产规模扩大，到成熟期后，和客户一同分享规模经济的效益，由价格优势转为品质优势。</w:t>
      </w:r>
    </w:p>
    <w:p>
      <w:pPr>
        <w:pStyle w:val="4"/>
        <w:rPr>
          <w:shd w:val="clear" w:color="auto" w:fill="FFFFFF"/>
        </w:rPr>
      </w:pPr>
      <w:bookmarkStart w:id="379" w:name="_Toc90339103"/>
      <w:bookmarkStart w:id="380" w:name="_Toc13951"/>
      <w:bookmarkStart w:id="381" w:name="_Toc15616"/>
      <w:r>
        <w:rPr>
          <w:rFonts w:hint="eastAsia"/>
          <w:shd w:val="clear" w:color="auto" w:fill="FFFFFF"/>
        </w:rPr>
        <w:t>定位高价</w:t>
      </w:r>
      <w:bookmarkEnd w:id="379"/>
      <w:bookmarkEnd w:id="380"/>
      <w:bookmarkEnd w:id="381"/>
    </w:p>
    <w:p>
      <w:pPr>
        <w:pStyle w:val="37"/>
        <w:ind w:firstLine="560"/>
      </w:pPr>
      <w:r>
        <w:rPr>
          <w:rFonts w:hint="eastAsia"/>
        </w:rPr>
        <w:t>加大研发投入，以技术质量领先为目标;通过与高端数字化农业平台互联，定位高价，形成价格梯队。</w:t>
      </w:r>
    </w:p>
    <w:p>
      <w:pPr>
        <w:pStyle w:val="4"/>
        <w:rPr>
          <w:shd w:val="clear" w:color="auto" w:fill="FFFFFF"/>
        </w:rPr>
      </w:pPr>
      <w:bookmarkStart w:id="382" w:name="_Toc18640"/>
      <w:bookmarkStart w:id="383" w:name="_Toc29714"/>
      <w:bookmarkStart w:id="384" w:name="_Toc90339104"/>
      <w:r>
        <w:rPr>
          <w:rFonts w:hint="eastAsia"/>
          <w:shd w:val="clear" w:color="auto" w:fill="FFFFFF"/>
        </w:rPr>
        <w:t>优惠策略</w:t>
      </w:r>
      <w:bookmarkEnd w:id="382"/>
      <w:bookmarkEnd w:id="383"/>
      <w:bookmarkEnd w:id="384"/>
    </w:p>
    <w:p>
      <w:pPr>
        <w:pStyle w:val="37"/>
        <w:ind w:firstLine="560"/>
      </w:pPr>
      <w:r>
        <w:rPr>
          <w:rFonts w:hint="eastAsia"/>
        </w:rPr>
        <w:t>给予相关客户现金折扣、频次折扣、交易折扣。利用互联网广告、电视购物平台等进行积极宣传扩大产品的知名度，进一步打入较小规模蚕养殖个体市场。</w:t>
      </w:r>
    </w:p>
    <w:p>
      <w:pPr>
        <w:pStyle w:val="37"/>
        <w:ind w:firstLine="560"/>
        <w:rPr>
          <w:rFonts w:hint="eastAsia"/>
        </w:rPr>
      </w:pPr>
      <w:r>
        <w:rPr>
          <w:rFonts w:hint="eastAsia"/>
        </w:rPr>
        <w:t>与蚕养殖组织机构进行合作，可以采用分期付款的方式收取费用。双十一、618等购物节进行限时限量降价，幅度在0~2000元左右不等。</w:t>
      </w:r>
    </w:p>
    <w:p>
      <w:pPr>
        <w:pStyle w:val="3"/>
      </w:pPr>
      <w:bookmarkStart w:id="385" w:name="_Toc90339105"/>
      <w:bookmarkStart w:id="386" w:name="_Toc19728"/>
      <w:bookmarkStart w:id="387" w:name="_Toc123"/>
      <w:r>
        <w:rPr>
          <w:rFonts w:hint="eastAsia"/>
        </w:rPr>
        <w:t>渠道策略（place）</w:t>
      </w:r>
      <w:bookmarkEnd w:id="385"/>
      <w:bookmarkEnd w:id="386"/>
      <w:bookmarkEnd w:id="387"/>
    </w:p>
    <w:p>
      <w:pPr>
        <w:pStyle w:val="4"/>
      </w:pPr>
      <w:bookmarkStart w:id="388" w:name="_Toc17383"/>
      <w:bookmarkStart w:id="389" w:name="_Toc90339106"/>
      <w:bookmarkStart w:id="390" w:name="_Toc13459"/>
      <w:r>
        <w:rPr>
          <w:rFonts w:hint="eastAsia"/>
        </w:rPr>
        <w:t>渠道推动– 渠道推给客户</w:t>
      </w:r>
      <w:bookmarkEnd w:id="388"/>
      <w:bookmarkEnd w:id="389"/>
      <w:bookmarkEnd w:id="390"/>
    </w:p>
    <w:p>
      <w:pPr>
        <w:pStyle w:val="37"/>
        <w:ind w:firstLine="560"/>
      </w:pPr>
      <w:r>
        <w:rPr>
          <w:rFonts w:hint="eastAsia"/>
        </w:rPr>
        <w:t>（1）TO C(对个人或合作社)对口直销+合作商代销的模式</w:t>
      </w:r>
    </w:p>
    <w:p>
      <w:pPr>
        <w:pStyle w:val="37"/>
        <w:ind w:firstLine="560"/>
      </w:pPr>
      <w:r>
        <w:rPr>
          <w:rFonts w:hint="eastAsia"/>
        </w:rPr>
        <w:t>在发展初期，我们采取对口直销模式，采用选择性市场覆盖策略，直接对接各桑蚕养殖个体以及蚕产业特色村并达成合作关系。根据蚕养殖规模划分低端与高端两种产品，致力于不同养殖规模的蚕养殖户使用，更好的满足不同规模蚕养殖在现实生活中的实际需要。</w:t>
      </w:r>
    </w:p>
    <w:p>
      <w:pPr>
        <w:pStyle w:val="37"/>
        <w:ind w:firstLine="560"/>
      </w:pPr>
      <w:r>
        <w:rPr>
          <w:rFonts w:hint="eastAsia"/>
        </w:rPr>
        <w:t>初期由于服务对象针对性强，我们也可以更为及时的收到产品在实际应用的数据反馈，针对在实际养殖与实验数据中的误差进行校准，为产品投入实际大规模生产进行下一步的优化与更新。</w:t>
      </w:r>
    </w:p>
    <w:p>
      <w:pPr>
        <w:pStyle w:val="37"/>
        <w:ind w:firstLine="560"/>
      </w:pPr>
    </w:p>
    <w:p>
      <w:pPr>
        <w:pStyle w:val="37"/>
        <w:ind w:firstLine="560"/>
      </w:pPr>
      <w:r>
        <w:rPr>
          <w:rFonts w:hint="eastAsia"/>
        </w:rPr>
        <w:t>（2）TO B(对企业或厂家)</w:t>
      </w:r>
    </w:p>
    <w:p>
      <w:pPr>
        <w:pStyle w:val="37"/>
        <w:ind w:firstLine="560"/>
      </w:pPr>
      <w:r>
        <w:rPr>
          <w:rFonts w:hint="eastAsia"/>
        </w:rPr>
        <w:t>SilkMate的生产厂家也以与我们达成分析服务系统合作，对于后期用户大规模投入实际生产所得到的后台数据反馈进行分析，我们为生产商提供用户反馈数据，有利于他们进行进一步的产品维护和改造升级，实现合作过程中的互惠互利。</w:t>
      </w:r>
    </w:p>
    <w:p>
      <w:pPr>
        <w:pStyle w:val="37"/>
        <w:ind w:firstLine="560"/>
        <w:rPr>
          <w:rFonts w:hint="eastAsia"/>
        </w:rPr>
      </w:pPr>
      <w:r>
        <w:rPr>
          <w:rFonts w:hint="eastAsia"/>
        </w:rPr>
        <w:t>随着SilkMate技术的不断成熟，适用范围不断扩大，市场份额不断增加，企业可与大规模养殖等企业或大规模的纺织企业等下游企业达成战略合作，来进一步推动产品的发展和推广。</w:t>
      </w:r>
    </w:p>
    <w:p>
      <w:pPr>
        <w:pStyle w:val="4"/>
      </w:pPr>
      <w:bookmarkStart w:id="391" w:name="_Toc9369"/>
      <w:bookmarkStart w:id="392" w:name="_Toc21040"/>
      <w:bookmarkStart w:id="393" w:name="_Toc90339107"/>
      <w:r>
        <w:rPr>
          <w:rFonts w:hint="eastAsia"/>
        </w:rPr>
        <w:t>品牌拉动- 让客户向我们买</w:t>
      </w:r>
      <w:bookmarkEnd w:id="391"/>
      <w:bookmarkEnd w:id="392"/>
      <w:bookmarkEnd w:id="393"/>
    </w:p>
    <w:p>
      <w:pPr>
        <w:pStyle w:val="37"/>
        <w:ind w:firstLine="560"/>
      </w:pPr>
      <w:r>
        <w:rPr>
          <w:rFonts w:hint="eastAsia"/>
        </w:rPr>
        <w:t>当外在客户看到 SilkMate带来的巨大收益后，转行从事桑蚕养殖来提高收入，带动了 SilkMate的需求。在全行业数字化转型的强大推力下，潜在客户主动或将被迫接受 SilkMate带来的一系列变革， Silk Mate的应用将不断推广。</w:t>
      </w:r>
    </w:p>
    <w:p>
      <w:pPr>
        <w:pStyle w:val="3"/>
      </w:pPr>
      <w:bookmarkStart w:id="394" w:name="_Toc4813"/>
      <w:bookmarkStart w:id="395" w:name="_Toc90339108"/>
      <w:bookmarkStart w:id="396" w:name="_Toc10780"/>
      <w:r>
        <w:rPr>
          <w:rFonts w:hint="eastAsia"/>
        </w:rPr>
        <w:t>推广策略（Promotion）</w:t>
      </w:r>
      <w:bookmarkEnd w:id="394"/>
      <w:bookmarkEnd w:id="395"/>
      <w:bookmarkEnd w:id="396"/>
    </w:p>
    <w:p>
      <w:pPr>
        <w:pStyle w:val="37"/>
        <w:ind w:firstLine="560"/>
      </w:pPr>
      <w:r>
        <w:rPr>
          <w:rFonts w:hint="eastAsia"/>
        </w:rPr>
        <w:t>宣传产品应用与性能，突显产品的优点:可视化、智能化、可操作性强。在推广活动中引导客户需求，增加其订购意向，提供优质服务，赢得客户信任。对于不同时期和不同对象，分别采用不同的推广策略。</w:t>
      </w:r>
    </w:p>
    <w:p>
      <w:pPr>
        <w:pStyle w:val="4"/>
      </w:pPr>
      <w:bookmarkStart w:id="397" w:name="_Toc14210"/>
      <w:bookmarkStart w:id="398" w:name="_Toc13508"/>
      <w:bookmarkStart w:id="399" w:name="_Toc90339109"/>
      <w:r>
        <w:rPr>
          <w:rFonts w:hint="eastAsia"/>
        </w:rPr>
        <w:t>体验式营销</w:t>
      </w:r>
      <w:bookmarkEnd w:id="397"/>
      <w:bookmarkEnd w:id="398"/>
      <w:bookmarkEnd w:id="399"/>
    </w:p>
    <w:p>
      <w:pPr>
        <w:pStyle w:val="37"/>
        <w:ind w:firstLine="560"/>
      </w:pPr>
      <w:r>
        <w:rPr>
          <w:rFonts w:hint="eastAsia"/>
        </w:rPr>
        <w:t>面向用户，提供短期的使用体验，试用期结束后用户可自行选择是否购买使用。在前期的客户使用中，对其进行一定的使用指导，使其看到本产品的独特性，对本产品产生一定的依赖性。</w:t>
      </w:r>
    </w:p>
    <w:p>
      <w:pPr>
        <w:pStyle w:val="37"/>
        <w:ind w:firstLine="560"/>
      </w:pPr>
      <w:r>
        <w:rPr>
          <w:rFonts w:hint="eastAsia"/>
        </w:rPr>
        <w:t>面向企业，提供长期合作试验关系，不论是上游企业还是下游企业，得益于其巨大的规模和数据反馈，本产品可依赖于此而不断创新，使其更具有一定的适用性。</w:t>
      </w:r>
    </w:p>
    <w:p>
      <w:pPr>
        <w:pStyle w:val="4"/>
      </w:pPr>
      <w:bookmarkStart w:id="400" w:name="_Toc12152"/>
      <w:bookmarkStart w:id="401" w:name="_Toc90339110"/>
      <w:bookmarkStart w:id="402" w:name="_Toc23264"/>
      <w:r>
        <w:rPr>
          <w:rFonts w:hint="eastAsia"/>
        </w:rPr>
        <w:t>个性化营销</w:t>
      </w:r>
      <w:bookmarkEnd w:id="400"/>
      <w:bookmarkEnd w:id="401"/>
      <w:bookmarkEnd w:id="402"/>
    </w:p>
    <w:p>
      <w:pPr>
        <w:pStyle w:val="37"/>
        <w:ind w:firstLine="560"/>
      </w:pPr>
      <w:r>
        <w:rPr>
          <w:rFonts w:hint="eastAsia"/>
        </w:rPr>
        <w:t>根据用户需要，将监测设备以各种形式接入各类家用设备，使养殖更具私人化和个性化。</w:t>
      </w:r>
    </w:p>
    <w:p>
      <w:pPr>
        <w:pStyle w:val="37"/>
        <w:ind w:firstLine="560"/>
      </w:pPr>
      <w:r>
        <w:rPr>
          <w:rFonts w:hint="eastAsia"/>
        </w:rPr>
        <w:t>根据企业需要，提供各类平台接口，扩大企业的业务种类和范围，在提高企业知名度的同时，打出本产品自己的品牌效应。</w:t>
      </w:r>
    </w:p>
    <w:p>
      <w:pPr>
        <w:pStyle w:val="4"/>
      </w:pPr>
      <w:bookmarkStart w:id="403" w:name="_Toc24065"/>
      <w:bookmarkStart w:id="404" w:name="_Toc14726"/>
      <w:bookmarkStart w:id="405" w:name="_Toc90339111"/>
      <w:r>
        <w:rPr>
          <w:rFonts w:hint="eastAsia"/>
        </w:rPr>
        <w:t>事件营销</w:t>
      </w:r>
      <w:bookmarkEnd w:id="403"/>
      <w:bookmarkEnd w:id="404"/>
      <w:bookmarkEnd w:id="405"/>
    </w:p>
    <w:p>
      <w:pPr>
        <w:pStyle w:val="37"/>
        <w:ind w:firstLine="560"/>
        <w:rPr>
          <w:rFonts w:hint="eastAsia"/>
        </w:rPr>
      </w:pPr>
      <w:r>
        <w:rPr>
          <w:rFonts w:hint="eastAsia"/>
        </w:rPr>
        <w:t>积极参与大型农业展览博览会、科技展览会，设计产品宣传手册，在展览、宣传活动时分发进一步提高本公司的知名度、美誉度、产品的社会认知度。</w:t>
      </w:r>
    </w:p>
    <w:p>
      <w:pPr>
        <w:pStyle w:val="2"/>
        <w:rPr>
          <w:rFonts w:ascii="黑体" w:hAnsi="黑体" w:eastAsia="黑体"/>
          <w:sz w:val="32"/>
          <w:szCs w:val="32"/>
          <w:shd w:val="clear" w:color="auto" w:fill="FFFFFF"/>
        </w:rPr>
      </w:pPr>
      <w:bookmarkStart w:id="406" w:name="_Toc11997"/>
      <w:bookmarkStart w:id="407" w:name="_Toc20418"/>
      <w:bookmarkStart w:id="408" w:name="_Toc3663"/>
      <w:bookmarkStart w:id="409" w:name="_Toc6140"/>
      <w:bookmarkStart w:id="410" w:name="_Toc90339112"/>
      <w:bookmarkStart w:id="411" w:name="_Toc26592"/>
      <w:r>
        <w:rPr>
          <w:rFonts w:hint="eastAsia" w:ascii="黑体" w:hAnsi="黑体" w:eastAsia="黑体"/>
          <w:sz w:val="32"/>
          <w:szCs w:val="32"/>
          <w:shd w:val="clear" w:color="auto" w:fill="FFFFFF"/>
        </w:rPr>
        <w:t>财务分析</w:t>
      </w:r>
      <w:bookmarkEnd w:id="406"/>
      <w:bookmarkEnd w:id="407"/>
      <w:bookmarkEnd w:id="408"/>
      <w:bookmarkEnd w:id="409"/>
      <w:bookmarkEnd w:id="410"/>
      <w:bookmarkEnd w:id="411"/>
    </w:p>
    <w:p>
      <w:pPr>
        <w:pStyle w:val="3"/>
      </w:pPr>
      <w:bookmarkStart w:id="412" w:name="_Toc21193"/>
      <w:bookmarkStart w:id="413" w:name="_Toc90339113"/>
      <w:bookmarkStart w:id="414" w:name="_Toc25298"/>
      <w:bookmarkStart w:id="415" w:name="_Toc14439"/>
      <w:bookmarkStart w:id="416" w:name="_Toc16300"/>
      <w:r>
        <w:rPr>
          <w:rFonts w:hint="eastAsia"/>
        </w:rPr>
        <w:t>融资计划</w:t>
      </w:r>
      <w:bookmarkEnd w:id="412"/>
      <w:bookmarkEnd w:id="413"/>
      <w:bookmarkEnd w:id="414"/>
      <w:bookmarkEnd w:id="415"/>
      <w:bookmarkEnd w:id="416"/>
    </w:p>
    <w:p>
      <w:pPr>
        <w:pStyle w:val="4"/>
      </w:pPr>
      <w:bookmarkStart w:id="417" w:name="_Toc20587"/>
      <w:bookmarkStart w:id="418" w:name="_Toc15596"/>
      <w:bookmarkStart w:id="419" w:name="_Toc90339114"/>
      <w:bookmarkStart w:id="420" w:name="_Toc10695"/>
      <w:bookmarkStart w:id="421" w:name="_Toc2682"/>
      <w:r>
        <w:rPr>
          <w:rFonts w:hint="eastAsia"/>
        </w:rPr>
        <w:t>前期融资方案</w:t>
      </w:r>
      <w:bookmarkEnd w:id="417"/>
      <w:bookmarkEnd w:id="418"/>
      <w:bookmarkEnd w:id="419"/>
      <w:bookmarkEnd w:id="420"/>
      <w:bookmarkEnd w:id="421"/>
    </w:p>
    <w:p>
      <w:pPr>
        <w:pStyle w:val="37"/>
        <w:ind w:firstLine="560"/>
      </w:pPr>
      <w:r>
        <w:rPr>
          <w:rFonts w:hint="eastAsia"/>
        </w:rPr>
        <w:t>前期公司成立之初，注册资本预计100万元。公司的资本结构中，60%的资金来自于公司创业团队，40%的资金来自于外部融资。</w:t>
      </w:r>
    </w:p>
    <w:p>
      <w:pPr>
        <w:pStyle w:val="37"/>
        <w:ind w:firstLine="560"/>
      </w:pPr>
    </w:p>
    <w:tbl>
      <w:tblPr>
        <w:tblStyle w:val="40"/>
        <w:tblW w:w="0" w:type="auto"/>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2840"/>
        <w:gridCol w:w="2841"/>
        <w:gridCol w:w="2841"/>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3"/>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FFFFFF" w:themeColor="background1"/>
                <w:sz w:val="21"/>
                <w:szCs w:val="21"/>
                <w14:textFill>
                  <w14:solidFill>
                    <w14:schemeClr w14:val="bg1"/>
                  </w14:solidFill>
                </w14:textFill>
              </w:rPr>
            </w:pPr>
            <w:bookmarkStart w:id="422" w:name="_Toc90339170"/>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6</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FFFFFF" w:themeColor="background1"/>
                <w:sz w:val="21"/>
                <w:szCs w:val="21"/>
                <w14:textFill>
                  <w14:solidFill>
                    <w14:schemeClr w14:val="bg1"/>
                  </w14:solidFill>
                </w14:textFill>
              </w:rPr>
              <w:t xml:space="preserve"> 前期融资方案</w:t>
            </w:r>
            <w:bookmarkEnd w:id="422"/>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840" w:type="dxa"/>
            <w:shd w:val="clear" w:color="auto" w:fill="E2EFD9" w:themeFill="accent6" w:themeFillTint="33"/>
          </w:tcPr>
          <w:p>
            <w:pPr>
              <w:jc w:val="center"/>
              <w:rPr>
                <w:rFonts w:ascii="宋体" w:hAnsi="宋体" w:cs="仿宋"/>
                <w:b/>
                <w:bCs/>
                <w:sz w:val="21"/>
                <w:szCs w:val="21"/>
              </w:rPr>
            </w:pPr>
            <w:r>
              <w:rPr>
                <w:rFonts w:hint="eastAsia" w:ascii="宋体" w:hAnsi="宋体" w:cs="仿宋"/>
                <w:b/>
                <w:bCs/>
                <w:sz w:val="21"/>
                <w:szCs w:val="21"/>
              </w:rPr>
              <w:t>项目</w:t>
            </w:r>
          </w:p>
        </w:tc>
        <w:tc>
          <w:tcPr>
            <w:tcW w:w="284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公司团队</w:t>
            </w:r>
          </w:p>
        </w:tc>
        <w:tc>
          <w:tcPr>
            <w:tcW w:w="284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风险投资</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840" w:type="dxa"/>
          </w:tcPr>
          <w:p>
            <w:pPr>
              <w:jc w:val="center"/>
              <w:rPr>
                <w:rFonts w:ascii="宋体" w:hAnsi="宋体" w:cs="仿宋"/>
                <w:b/>
                <w:bCs/>
                <w:sz w:val="21"/>
                <w:szCs w:val="21"/>
              </w:rPr>
            </w:pPr>
            <w:r>
              <w:rPr>
                <w:rFonts w:hint="eastAsia" w:ascii="宋体" w:hAnsi="宋体" w:cs="仿宋"/>
                <w:b/>
                <w:bCs/>
                <w:sz w:val="21"/>
                <w:szCs w:val="21"/>
              </w:rPr>
              <w:t>出资金额</w:t>
            </w:r>
          </w:p>
        </w:tc>
        <w:tc>
          <w:tcPr>
            <w:tcW w:w="2841" w:type="dxa"/>
          </w:tcPr>
          <w:p>
            <w:pPr>
              <w:jc w:val="center"/>
              <w:rPr>
                <w:rFonts w:ascii="宋体" w:hAnsi="宋体" w:cs="仿宋"/>
                <w:sz w:val="21"/>
                <w:szCs w:val="21"/>
              </w:rPr>
            </w:pPr>
            <w:r>
              <w:rPr>
                <w:rFonts w:hint="eastAsia" w:ascii="宋体" w:hAnsi="宋体" w:cs="仿宋"/>
                <w:sz w:val="21"/>
                <w:szCs w:val="21"/>
              </w:rPr>
              <w:t>600000</w:t>
            </w:r>
          </w:p>
        </w:tc>
        <w:tc>
          <w:tcPr>
            <w:tcW w:w="2841" w:type="dxa"/>
          </w:tcPr>
          <w:p>
            <w:pPr>
              <w:jc w:val="center"/>
              <w:rPr>
                <w:rFonts w:ascii="宋体" w:hAnsi="宋体" w:cs="仿宋"/>
                <w:sz w:val="21"/>
                <w:szCs w:val="21"/>
              </w:rPr>
            </w:pPr>
            <w:r>
              <w:rPr>
                <w:rFonts w:hint="eastAsia" w:ascii="宋体" w:hAnsi="宋体" w:cs="仿宋"/>
                <w:sz w:val="21"/>
                <w:szCs w:val="21"/>
              </w:rPr>
              <w:t>400000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840" w:type="dxa"/>
            <w:shd w:val="clear" w:color="auto" w:fill="E2EFD9" w:themeFill="accent6" w:themeFillTint="33"/>
          </w:tcPr>
          <w:p>
            <w:pPr>
              <w:jc w:val="center"/>
              <w:rPr>
                <w:rFonts w:ascii="宋体" w:hAnsi="宋体" w:cs="仿宋"/>
                <w:b/>
                <w:bCs/>
                <w:sz w:val="21"/>
                <w:szCs w:val="21"/>
              </w:rPr>
            </w:pPr>
            <w:r>
              <w:rPr>
                <w:rFonts w:hint="eastAsia" w:ascii="宋体" w:hAnsi="宋体" w:cs="仿宋"/>
                <w:b/>
                <w:bCs/>
                <w:sz w:val="21"/>
                <w:szCs w:val="21"/>
              </w:rPr>
              <w:t>出资比例</w:t>
            </w:r>
          </w:p>
        </w:tc>
        <w:tc>
          <w:tcPr>
            <w:tcW w:w="284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60%</w:t>
            </w:r>
          </w:p>
        </w:tc>
        <w:tc>
          <w:tcPr>
            <w:tcW w:w="2841" w:type="dxa"/>
            <w:shd w:val="clear" w:color="auto" w:fill="E2EFD9" w:themeFill="accent6" w:themeFillTint="33"/>
          </w:tcPr>
          <w:p>
            <w:pPr>
              <w:jc w:val="center"/>
              <w:rPr>
                <w:rFonts w:ascii="宋体" w:hAnsi="宋体" w:cs="仿宋"/>
                <w:sz w:val="21"/>
                <w:szCs w:val="21"/>
              </w:rPr>
            </w:pPr>
            <w:r>
              <w:rPr>
                <w:rFonts w:hint="eastAsia" w:ascii="宋体" w:hAnsi="宋体" w:cs="仿宋"/>
                <w:sz w:val="21"/>
                <w:szCs w:val="21"/>
              </w:rPr>
              <w:t>40%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840" w:type="dxa"/>
          </w:tcPr>
          <w:p>
            <w:pPr>
              <w:jc w:val="center"/>
              <w:rPr>
                <w:rFonts w:ascii="宋体" w:hAnsi="宋体" w:cs="仿宋"/>
                <w:b/>
                <w:bCs/>
                <w:sz w:val="21"/>
                <w:szCs w:val="21"/>
              </w:rPr>
            </w:pPr>
            <w:r>
              <w:rPr>
                <w:rFonts w:hint="eastAsia" w:ascii="宋体" w:hAnsi="宋体" w:cs="仿宋"/>
                <w:b/>
                <w:bCs/>
                <w:sz w:val="21"/>
                <w:szCs w:val="21"/>
              </w:rPr>
              <w:t>出资方式</w:t>
            </w:r>
          </w:p>
        </w:tc>
        <w:tc>
          <w:tcPr>
            <w:tcW w:w="2841" w:type="dxa"/>
          </w:tcPr>
          <w:p>
            <w:pPr>
              <w:jc w:val="center"/>
              <w:rPr>
                <w:rFonts w:ascii="宋体" w:hAnsi="宋体" w:cs="仿宋"/>
                <w:sz w:val="21"/>
                <w:szCs w:val="21"/>
              </w:rPr>
            </w:pPr>
            <w:r>
              <w:rPr>
                <w:rFonts w:hint="eastAsia" w:ascii="宋体" w:hAnsi="宋体" w:cs="仿宋"/>
                <w:sz w:val="21"/>
                <w:szCs w:val="21"/>
              </w:rPr>
              <w:t>货币</w:t>
            </w:r>
          </w:p>
        </w:tc>
        <w:tc>
          <w:tcPr>
            <w:tcW w:w="2841" w:type="dxa"/>
          </w:tcPr>
          <w:p>
            <w:pPr>
              <w:jc w:val="center"/>
              <w:rPr>
                <w:rFonts w:ascii="宋体" w:hAnsi="宋体" w:cs="仿宋"/>
                <w:sz w:val="21"/>
                <w:szCs w:val="21"/>
              </w:rPr>
            </w:pPr>
            <w:r>
              <w:rPr>
                <w:rFonts w:hint="eastAsia" w:ascii="宋体" w:hAnsi="宋体" w:cs="仿宋"/>
                <w:sz w:val="21"/>
                <w:szCs w:val="21"/>
              </w:rPr>
              <w:t>货币</w:t>
            </w:r>
          </w:p>
        </w:tc>
      </w:tr>
    </w:tbl>
    <w:p>
      <w:pPr>
        <w:widowControl/>
        <w:ind w:firstLine="480" w:firstLineChars="200"/>
        <w:jc w:val="left"/>
        <w:rPr>
          <w:rFonts w:ascii="仿宋" w:hAnsi="仿宋" w:eastAsia="仿宋" w:cs="仿宋"/>
        </w:rPr>
      </w:pPr>
    </w:p>
    <w:p>
      <w:pPr>
        <w:pStyle w:val="37"/>
        <w:ind w:firstLine="560"/>
        <w:rPr>
          <w:rFonts w:hint="eastAsia"/>
        </w:rPr>
      </w:pPr>
      <w:r>
        <w:rPr>
          <w:rFonts w:hint="eastAsia"/>
        </w:rPr>
        <w:t>选择融资方式</w:t>
      </w:r>
      <w:r>
        <w:rPr>
          <w:rFonts w:hint="eastAsia" w:ascii="仿宋" w:hAnsi="仿宋"/>
        </w:rPr>
        <w:t>的时候根据公司况状可以选择向金融机构借款或者风险投资，但金融机构借款的要求严格，门槛较高，本公司主要选择风险投资的方式，主要通过大学生创业基金、风险投资公司、风险资本家和天使投资人等渠道取得。同时，为了给本公司今后的运营创造良好的条件，避免风险投资资金退出造成的运营风险，须和投资方进行详细的讨论，达成一致理念。</w:t>
      </w:r>
    </w:p>
    <w:p>
      <w:pPr>
        <w:pStyle w:val="4"/>
      </w:pPr>
      <w:bookmarkStart w:id="423" w:name="_Toc13872"/>
      <w:bookmarkStart w:id="424" w:name="_Toc12472"/>
      <w:bookmarkStart w:id="425" w:name="_Toc3639"/>
      <w:bookmarkStart w:id="426" w:name="_Toc23594"/>
      <w:bookmarkStart w:id="427" w:name="_Toc90339115"/>
      <w:r>
        <w:rPr>
          <w:rFonts w:hint="eastAsia"/>
        </w:rPr>
        <w:t>中期融资方案</w:t>
      </w:r>
      <w:bookmarkEnd w:id="423"/>
      <w:bookmarkEnd w:id="424"/>
      <w:bookmarkEnd w:id="425"/>
      <w:bookmarkEnd w:id="426"/>
      <w:bookmarkEnd w:id="427"/>
    </w:p>
    <w:p>
      <w:pPr>
        <w:pStyle w:val="37"/>
        <w:ind w:firstLine="560"/>
      </w:pPr>
      <w:r>
        <w:rPr>
          <w:rFonts w:hint="eastAsia"/>
        </w:rPr>
        <w:t>为保证公司正常运营和拓展需要的大</w:t>
      </w:r>
      <w:r>
        <w:rPr>
          <w:rFonts w:hint="eastAsia" w:ascii="仿宋" w:hAnsi="仿宋"/>
        </w:rPr>
        <w:t>量资金，公司预计前五年内不进行分红，通过资本积累扩大公司的留存收益，不分红的利润分配方式，为公司的规模拓展提供了保障，为公司日后的业务推广和技术研发提供有力资金支持。</w:t>
      </w:r>
    </w:p>
    <w:p>
      <w:pPr>
        <w:pStyle w:val="37"/>
        <w:ind w:firstLine="560"/>
      </w:pPr>
      <w:r>
        <w:rPr>
          <w:rFonts w:hint="eastAsia"/>
        </w:rPr>
        <w:t>（1）金融机构借款</w:t>
      </w:r>
    </w:p>
    <w:p>
      <w:pPr>
        <w:pStyle w:val="37"/>
        <w:ind w:firstLine="560"/>
      </w:pPr>
      <w:r>
        <w:rPr>
          <w:rFonts w:hint="eastAsia"/>
        </w:rPr>
        <w:t>经过前期数年的运营和发展，已经拥有了一定的盈利能力和风险承担能力，也形成了良好的企业信用和形象，这时可以考虑向银行和</w:t>
      </w:r>
      <w:r>
        <w:rPr>
          <w:rFonts w:hint="eastAsia" w:ascii="仿宋" w:hAnsi="仿宋"/>
        </w:rPr>
        <w:t>或金融机构进行一定额度的贷款。如若在公司经营中遇到困难时，也可以向银行借贷，具有一定的可行性。</w:t>
      </w:r>
    </w:p>
    <w:p>
      <w:pPr>
        <w:pStyle w:val="37"/>
        <w:ind w:firstLine="560"/>
      </w:pPr>
      <w:r>
        <w:rPr>
          <w:rFonts w:hint="eastAsia"/>
        </w:rPr>
        <w:t xml:space="preserve">（2）新一轮风险投资 </w:t>
      </w:r>
    </w:p>
    <w:p>
      <w:pPr>
        <w:pStyle w:val="37"/>
        <w:ind w:firstLine="560"/>
      </w:pPr>
      <w:r>
        <w:rPr>
          <w:rFonts w:hint="eastAsia"/>
        </w:rPr>
        <w:t>公司在遇到资金运转不周的情况时，如向银行贷款遇到问题，可以考虑进行新一轮的风险投资，来满足公司的深入发展。在保证创业团队绝对持股，拥有绝对控制权的情况下，公司将向原有股东进行</w:t>
      </w:r>
      <w:r>
        <w:rPr>
          <w:rFonts w:hint="eastAsia" w:ascii="仿宋" w:hAnsi="仿宋"/>
        </w:rPr>
        <w:t>新一轮的筹资。在必要时可以进行新的风险投资，</w:t>
      </w:r>
      <w:r>
        <w:rPr>
          <w:rFonts w:hint="eastAsia"/>
        </w:rPr>
        <w:t>在创业团队保有公司控制权的前提下引入</w:t>
      </w:r>
      <w:r>
        <w:rPr>
          <w:rFonts w:hint="eastAsia" w:ascii="仿宋" w:hAnsi="仿宋"/>
        </w:rPr>
        <w:t>新的股东，进行股权的再分配吸收。</w:t>
      </w:r>
    </w:p>
    <w:p>
      <w:pPr>
        <w:pStyle w:val="4"/>
      </w:pPr>
      <w:bookmarkStart w:id="428" w:name="_Toc20576"/>
      <w:bookmarkStart w:id="429" w:name="_Toc90339116"/>
      <w:bookmarkStart w:id="430" w:name="_Toc3388"/>
      <w:bookmarkStart w:id="431" w:name="_Toc5826"/>
      <w:bookmarkStart w:id="432" w:name="_Toc19607"/>
      <w:r>
        <w:rPr>
          <w:rFonts w:hint="eastAsia"/>
        </w:rPr>
        <w:t>后期融资方案</w:t>
      </w:r>
      <w:bookmarkEnd w:id="428"/>
      <w:bookmarkEnd w:id="429"/>
      <w:bookmarkEnd w:id="430"/>
      <w:bookmarkEnd w:id="431"/>
      <w:bookmarkEnd w:id="432"/>
    </w:p>
    <w:p>
      <w:pPr>
        <w:pStyle w:val="37"/>
        <w:ind w:firstLine="560"/>
      </w:pPr>
      <w:r>
        <w:rPr>
          <w:rFonts w:hint="eastAsia"/>
        </w:rPr>
        <w:t>（1）上市融资</w:t>
      </w:r>
    </w:p>
    <w:p>
      <w:pPr>
        <w:pStyle w:val="37"/>
        <w:ind w:firstLine="560"/>
      </w:pPr>
      <w:r>
        <w:rPr>
          <w:rFonts w:hint="eastAsia"/>
        </w:rPr>
        <w:t>将经营公司的全部资本等额划分，经批准后通过创业板上市流通，公开发行。此举不仅能够在短时间内可筹集到巨额资，公司同时可以通过股市的情况为公司免费做广告，从而在无形中提高股价，提高公司形象，增强公司信用。</w:t>
      </w:r>
    </w:p>
    <w:p>
      <w:pPr>
        <w:pStyle w:val="37"/>
        <w:ind w:firstLine="560"/>
      </w:pPr>
      <w:r>
        <w:rPr>
          <w:rFonts w:hint="eastAsia"/>
        </w:rPr>
        <w:t>（2）增发新股或企业债券</w:t>
      </w:r>
    </w:p>
    <w:p>
      <w:pPr>
        <w:pStyle w:val="37"/>
        <w:ind w:firstLine="560"/>
      </w:pPr>
      <w:r>
        <w:rPr>
          <w:rFonts w:hint="eastAsia"/>
        </w:rPr>
        <w:t>上市之后，随着公司规模的扩大</w:t>
      </w:r>
      <w:r>
        <w:rPr>
          <w:rFonts w:hint="eastAsia" w:ascii="仿宋" w:hAnsi="仿宋"/>
        </w:rPr>
        <w:t>，可根据公司运营状况来选择增发新股或发行企业债券。</w:t>
      </w:r>
    </w:p>
    <w:p>
      <w:pPr>
        <w:pStyle w:val="37"/>
        <w:ind w:firstLine="560"/>
      </w:pPr>
      <w:r>
        <w:rPr>
          <w:rFonts w:hint="eastAsia"/>
        </w:rPr>
        <w:t>当公司拥有较好的运营状况之下，公司可选择增发股份。对于定向增发及公开发股的选择及分配方</w:t>
      </w:r>
      <w:r>
        <w:rPr>
          <w:rFonts w:hint="eastAsia" w:ascii="仿宋" w:hAnsi="仿宋"/>
        </w:rPr>
        <w:t>式适</w:t>
      </w:r>
      <w:r>
        <w:rPr>
          <w:rFonts w:hint="eastAsia"/>
        </w:rPr>
        <w:t>现实情况而</w:t>
      </w:r>
      <w:r>
        <w:rPr>
          <w:rFonts w:hint="eastAsia" w:ascii="仿宋" w:hAnsi="仿宋"/>
        </w:rPr>
        <w:t>定。</w:t>
      </w:r>
    </w:p>
    <w:p>
      <w:pPr>
        <w:pStyle w:val="37"/>
        <w:ind w:firstLine="560"/>
      </w:pPr>
      <w:r>
        <w:rPr>
          <w:rFonts w:hint="eastAsia"/>
        </w:rPr>
        <w:t>（3）向银行贷款</w:t>
      </w:r>
    </w:p>
    <w:p>
      <w:pPr>
        <w:pStyle w:val="37"/>
        <w:ind w:firstLine="560"/>
      </w:pPr>
      <w:r>
        <w:rPr>
          <w:rFonts w:hint="eastAsia"/>
        </w:rPr>
        <w:t>经过近十年的发展，已经有了一定</w:t>
      </w:r>
      <w:r>
        <w:rPr>
          <w:rFonts w:hint="eastAsia" w:ascii="仿宋" w:hAnsi="仿宋"/>
        </w:rPr>
        <w:t>的盈利水平，向银行进行较大金额的贷款也具有</w:t>
      </w:r>
      <w:r>
        <w:rPr>
          <w:rFonts w:hint="eastAsia" w:ascii="微软雅黑" w:hAnsi="微软雅黑" w:eastAsia="微软雅黑" w:cs="微软雅黑"/>
        </w:rPr>
        <w:t>⼀</w:t>
      </w:r>
      <w:r>
        <w:rPr>
          <w:rFonts w:hint="eastAsia" w:ascii="仿宋" w:hAnsi="仿宋"/>
        </w:rPr>
        <w:t>定的可行性。基于公司的盈利模式及资产结构，在向银行进行借贷时可以公司股票或长期股权投资作为为抵押。</w:t>
      </w:r>
    </w:p>
    <w:p>
      <w:pPr>
        <w:widowControl/>
        <w:ind w:firstLine="480" w:firstLineChars="200"/>
        <w:jc w:val="left"/>
        <w:rPr>
          <w:rFonts w:ascii="仿宋" w:hAnsi="仿宋" w:eastAsia="仿宋" w:cs="仿宋"/>
        </w:rPr>
      </w:pPr>
    </w:p>
    <w:p>
      <w:pPr>
        <w:widowControl/>
        <w:jc w:val="left"/>
        <w:rPr>
          <w:rFonts w:ascii="仿宋" w:hAnsi="仿宋" w:eastAsia="仿宋" w:cs="仿宋"/>
        </w:rPr>
      </w:pPr>
    </w:p>
    <w:p>
      <w:pPr>
        <w:pStyle w:val="3"/>
      </w:pPr>
      <w:bookmarkStart w:id="433" w:name="_Toc17976"/>
      <w:bookmarkStart w:id="434" w:name="_Toc90339117"/>
      <w:bookmarkStart w:id="435" w:name="_Toc17004"/>
      <w:bookmarkStart w:id="436" w:name="_Toc24708"/>
      <w:bookmarkStart w:id="437" w:name="_Toc10648"/>
      <w:r>
        <w:rPr>
          <w:rFonts w:hint="eastAsia"/>
        </w:rPr>
        <w:t>财务预测</w:t>
      </w:r>
      <w:bookmarkEnd w:id="433"/>
      <w:bookmarkEnd w:id="434"/>
      <w:bookmarkEnd w:id="435"/>
      <w:bookmarkEnd w:id="436"/>
      <w:bookmarkEnd w:id="437"/>
    </w:p>
    <w:p>
      <w:pPr>
        <w:pStyle w:val="4"/>
      </w:pPr>
      <w:bookmarkStart w:id="438" w:name="_Toc3978"/>
      <w:bookmarkStart w:id="439" w:name="_Toc11089"/>
      <w:bookmarkStart w:id="440" w:name="_Toc4203"/>
      <w:bookmarkStart w:id="441" w:name="_Toc90339118"/>
      <w:bookmarkStart w:id="442" w:name="_Toc30893"/>
      <w:r>
        <w:rPr>
          <w:rFonts w:hint="eastAsia"/>
        </w:rPr>
        <w:t>基本财务假设</w:t>
      </w:r>
      <w:bookmarkEnd w:id="438"/>
      <w:bookmarkEnd w:id="439"/>
      <w:bookmarkEnd w:id="440"/>
      <w:bookmarkEnd w:id="441"/>
      <w:bookmarkEnd w:id="442"/>
    </w:p>
    <w:p>
      <w:pPr>
        <w:pStyle w:val="37"/>
        <w:ind w:firstLine="560"/>
      </w:pPr>
      <w:r>
        <w:rPr>
          <w:rFonts w:hint="eastAsia"/>
        </w:rPr>
        <w:t>（</w:t>
      </w:r>
      <w:r>
        <w:rPr>
          <w:rFonts w:hint="eastAsia"/>
          <w:lang w:bidi="ar"/>
        </w:rPr>
        <w:t>1）会计制度：</w:t>
      </w:r>
    </w:p>
    <w:p>
      <w:pPr>
        <w:pStyle w:val="37"/>
        <w:ind w:firstLine="560"/>
      </w:pPr>
      <w:r>
        <w:rPr>
          <w:rFonts w:hint="eastAsia"/>
          <w:lang w:bidi="ar"/>
        </w:rPr>
        <w:t>公司严格执行《企业会计制度》。</w:t>
      </w:r>
    </w:p>
    <w:p>
      <w:pPr>
        <w:pStyle w:val="37"/>
        <w:ind w:firstLine="560"/>
      </w:pPr>
      <w:r>
        <w:rPr>
          <w:rFonts w:hint="eastAsia"/>
          <w:lang w:bidi="ar"/>
        </w:rPr>
        <w:t>（2）会计年度：</w:t>
      </w:r>
    </w:p>
    <w:p>
      <w:pPr>
        <w:pStyle w:val="37"/>
        <w:ind w:firstLine="560"/>
      </w:pPr>
      <w:r>
        <w:rPr>
          <w:rFonts w:hint="eastAsia"/>
          <w:lang w:bidi="ar"/>
        </w:rPr>
        <w:t xml:space="preserve">以公历每年一月一日至十二月三十一日止为一个会计年度。 </w:t>
      </w:r>
    </w:p>
    <w:p>
      <w:pPr>
        <w:pStyle w:val="37"/>
        <w:ind w:firstLine="560"/>
      </w:pPr>
      <w:r>
        <w:rPr>
          <w:rFonts w:hint="eastAsia"/>
          <w:lang w:bidi="ar"/>
        </w:rPr>
        <w:t>（3）记账本位币：</w:t>
      </w:r>
    </w:p>
    <w:p>
      <w:pPr>
        <w:pStyle w:val="37"/>
        <w:ind w:firstLine="560"/>
      </w:pPr>
      <w:r>
        <w:rPr>
          <w:rFonts w:hint="eastAsia"/>
          <w:lang w:bidi="ar"/>
        </w:rPr>
        <w:t>以人民币为记账本位币。</w:t>
      </w:r>
    </w:p>
    <w:p>
      <w:pPr>
        <w:pStyle w:val="37"/>
        <w:ind w:firstLine="560"/>
      </w:pPr>
      <w:r>
        <w:rPr>
          <w:rFonts w:hint="eastAsia"/>
          <w:lang w:bidi="ar"/>
        </w:rPr>
        <w:t>（4）记账基础和计价原则：</w:t>
      </w:r>
    </w:p>
    <w:p>
      <w:pPr>
        <w:pStyle w:val="37"/>
        <w:ind w:firstLine="560"/>
      </w:pPr>
      <w:r>
        <w:rPr>
          <w:rFonts w:hint="eastAsia"/>
          <w:lang w:bidi="ar"/>
        </w:rPr>
        <w:t>以权责发生制为记账基础，以历史成本为计价原则</w:t>
      </w:r>
    </w:p>
    <w:p>
      <w:pPr>
        <w:pStyle w:val="37"/>
        <w:ind w:firstLine="560"/>
        <w:rPr>
          <w:lang w:bidi="ar"/>
        </w:rPr>
      </w:pPr>
      <w:r>
        <w:rPr>
          <w:rFonts w:hint="eastAsia"/>
          <w:lang w:bidi="ar"/>
        </w:rPr>
        <w:t>（5）固定资产折旧：</w:t>
      </w:r>
    </w:p>
    <w:p>
      <w:pPr>
        <w:pStyle w:val="37"/>
        <w:ind w:firstLine="560"/>
      </w:pPr>
      <w:r>
        <w:rPr>
          <w:rFonts w:hint="eastAsia"/>
          <w:lang w:bidi="ar"/>
        </w:rPr>
        <w:t>固定资产估计使用寿命8年，按5年计提，不考虑净残值，按直线折旧法计算。每年年末对固定资产进行减值测试，预计五年内固定资产不发生减值。</w:t>
      </w:r>
    </w:p>
    <w:p>
      <w:pPr>
        <w:pStyle w:val="37"/>
        <w:ind w:firstLine="560"/>
      </w:pPr>
      <w:r>
        <w:rPr>
          <w:rFonts w:hint="eastAsia"/>
          <w:lang w:bidi="ar"/>
        </w:rPr>
        <w:t>（6）应收应付款及应付职工薪酬处理：</w:t>
      </w:r>
    </w:p>
    <w:p>
      <w:pPr>
        <w:pStyle w:val="37"/>
        <w:ind w:firstLine="560"/>
      </w:pPr>
      <w:r>
        <w:rPr>
          <w:rFonts w:hint="eastAsia"/>
          <w:lang w:bidi="ar"/>
        </w:rPr>
        <w:t>每年的应收、应付款均于下一年年初收回和支付。不计提坏账准备。</w:t>
      </w:r>
    </w:p>
    <w:p>
      <w:pPr>
        <w:pStyle w:val="37"/>
        <w:ind w:firstLine="560"/>
      </w:pPr>
      <w:r>
        <w:rPr>
          <w:rFonts w:hint="eastAsia"/>
          <w:lang w:bidi="ar"/>
        </w:rPr>
        <w:t>（7）公司试用的税种和税率列示如下：</w:t>
      </w:r>
    </w:p>
    <w:p>
      <w:pPr>
        <w:pStyle w:val="37"/>
        <w:ind w:firstLine="560"/>
      </w:pPr>
      <w:r>
        <w:rPr>
          <w:rFonts w:hint="eastAsia"/>
          <w:lang w:bidi="ar"/>
        </w:rPr>
        <w:t xml:space="preserve">公司增值税（%）：13% </w:t>
      </w:r>
    </w:p>
    <w:p>
      <w:pPr>
        <w:pStyle w:val="37"/>
        <w:ind w:firstLine="560"/>
        <w:rPr>
          <w:lang w:bidi="ar"/>
        </w:rPr>
      </w:pPr>
      <w:r>
        <w:rPr>
          <w:rFonts w:hint="eastAsia"/>
          <w:lang w:bidi="ar"/>
        </w:rPr>
        <w:t>企业所得税（%）：25%</w:t>
      </w:r>
    </w:p>
    <w:p>
      <w:pPr>
        <w:pStyle w:val="37"/>
        <w:ind w:firstLine="560"/>
        <w:rPr>
          <w:lang w:bidi="ar"/>
        </w:rPr>
      </w:pPr>
      <w:r>
        <w:rPr>
          <w:rFonts w:hint="eastAsia"/>
          <w:lang w:bidi="ar"/>
        </w:rPr>
        <w:t>法定盈余公积计提</w:t>
      </w:r>
      <w:r>
        <w:rPr>
          <w:rFonts w:hint="eastAsia" w:ascii="微软雅黑" w:hAnsi="微软雅黑" w:eastAsia="微软雅黑" w:cs="微软雅黑"/>
          <w:lang w:bidi="ar"/>
        </w:rPr>
        <w:t>⽐</w:t>
      </w:r>
      <w:r>
        <w:rPr>
          <w:rFonts w:hint="eastAsia" w:ascii="仿宋" w:hAnsi="仿宋"/>
          <w:lang w:bidi="ar"/>
        </w:rPr>
        <w:t>例按当年净利润的</w:t>
      </w:r>
      <w:r>
        <w:rPr>
          <w:rFonts w:hint="eastAsia"/>
          <w:lang w:bidi="ar"/>
        </w:rPr>
        <w:t>10%</w:t>
      </w:r>
    </w:p>
    <w:p>
      <w:pPr>
        <w:pStyle w:val="37"/>
        <w:ind w:firstLine="560"/>
        <w:rPr>
          <w:lang w:bidi="ar"/>
        </w:rPr>
      </w:pPr>
      <w:r>
        <w:rPr>
          <w:rFonts w:hint="eastAsia"/>
          <w:lang w:bidi="ar"/>
        </w:rPr>
        <w:t>（8）企业将在每年年末对</w:t>
      </w:r>
      <w:r>
        <w:rPr>
          <w:rFonts w:hint="eastAsia" w:ascii="微软雅黑" w:hAnsi="微软雅黑" w:eastAsia="微软雅黑" w:cs="微软雅黑"/>
          <w:lang w:bidi="ar"/>
        </w:rPr>
        <w:t>⽆</w:t>
      </w:r>
      <w:r>
        <w:rPr>
          <w:rFonts w:hint="eastAsia" w:ascii="仿宋" w:hAnsi="仿宋"/>
          <w:lang w:bidi="ar"/>
        </w:rPr>
        <w:t>形资产进</w:t>
      </w:r>
      <w:r>
        <w:rPr>
          <w:rFonts w:hint="eastAsia" w:ascii="微软雅黑" w:hAnsi="微软雅黑" w:eastAsia="微软雅黑" w:cs="微软雅黑"/>
          <w:lang w:bidi="ar"/>
        </w:rPr>
        <w:t>⾏</w:t>
      </w:r>
      <w:r>
        <w:rPr>
          <w:rFonts w:hint="eastAsia" w:ascii="仿宋" w:hAnsi="仿宋"/>
          <w:lang w:bidi="ar"/>
        </w:rPr>
        <w:t>减值测试，预计五年内</w:t>
      </w:r>
      <w:r>
        <w:rPr>
          <w:rFonts w:hint="eastAsia" w:ascii="微软雅黑" w:hAnsi="微软雅黑" w:eastAsia="微软雅黑" w:cs="微软雅黑"/>
          <w:lang w:bidi="ar"/>
        </w:rPr>
        <w:t>⽆</w:t>
      </w:r>
      <w:r>
        <w:rPr>
          <w:rFonts w:hint="eastAsia" w:ascii="仿宋" w:hAnsi="仿宋"/>
          <w:lang w:bidi="ar"/>
        </w:rPr>
        <w:t>形资产不发</w:t>
      </w:r>
      <w:r>
        <w:rPr>
          <w:rFonts w:hint="eastAsia" w:ascii="微软雅黑" w:hAnsi="微软雅黑" w:eastAsia="微软雅黑" w:cs="微软雅黑"/>
          <w:lang w:bidi="ar"/>
        </w:rPr>
        <w:t>⽣</w:t>
      </w:r>
      <w:r>
        <w:rPr>
          <w:rFonts w:hint="eastAsia"/>
          <w:lang w:bidi="ar"/>
        </w:rPr>
        <w:t xml:space="preserve"> </w:t>
      </w:r>
    </w:p>
    <w:p>
      <w:pPr>
        <w:pStyle w:val="37"/>
        <w:ind w:firstLine="560"/>
        <w:rPr>
          <w:lang w:bidi="ar"/>
        </w:rPr>
      </w:pPr>
      <w:r>
        <w:rPr>
          <w:rFonts w:hint="eastAsia"/>
          <w:lang w:bidi="ar"/>
        </w:rPr>
        <w:t>减值，无形资产的专利技术按20年进行直线摊销。</w:t>
      </w:r>
    </w:p>
    <w:p>
      <w:pPr>
        <w:pStyle w:val="37"/>
        <w:ind w:firstLine="560"/>
        <w:rPr>
          <w:rFonts w:hint="eastAsia"/>
        </w:rPr>
      </w:pPr>
      <w:r>
        <w:rPr>
          <w:rFonts w:hint="eastAsia"/>
          <w:lang w:bidi="ar"/>
        </w:rPr>
        <w:t xml:space="preserve">为保证公司正常运营以及规模的扩大，公司拟定前五年不分红。 </w:t>
      </w:r>
    </w:p>
    <w:p>
      <w:pPr>
        <w:pStyle w:val="4"/>
        <w:rPr>
          <w:rFonts w:ascii="仿宋" w:hAnsi="仿宋" w:eastAsia="仿宋" w:cs="仿宋"/>
          <w:b/>
          <w:bCs/>
        </w:rPr>
      </w:pPr>
      <w:bookmarkStart w:id="443" w:name="_Toc90339119"/>
      <w:bookmarkStart w:id="444" w:name="_Toc14770"/>
      <w:bookmarkStart w:id="445" w:name="_Toc3112"/>
      <w:bookmarkStart w:id="446" w:name="_Toc12630"/>
      <w:bookmarkStart w:id="447" w:name="_Toc10863"/>
      <w:r>
        <w:rPr>
          <w:rFonts w:hint="eastAsia"/>
        </w:rPr>
        <w:t>市场进入初期投资预测</w:t>
      </w:r>
      <w:bookmarkEnd w:id="443"/>
      <w:bookmarkEnd w:id="444"/>
      <w:bookmarkEnd w:id="445"/>
      <w:bookmarkEnd w:id="446"/>
      <w:bookmarkEnd w:id="447"/>
    </w:p>
    <w:tbl>
      <w:tblPr>
        <w:tblStyle w:val="40"/>
        <w:tblW w:w="8766"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2003"/>
        <w:gridCol w:w="2621"/>
        <w:gridCol w:w="1237"/>
        <w:gridCol w:w="1063"/>
        <w:gridCol w:w="1842"/>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62" w:hRule="atLeast"/>
        </w:trPr>
        <w:tc>
          <w:tcPr>
            <w:tcW w:w="8766" w:type="dxa"/>
            <w:gridSpan w:val="5"/>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auto"/>
                <w:sz w:val="21"/>
                <w:szCs w:val="21"/>
              </w:rPr>
            </w:pPr>
            <w:bookmarkStart w:id="448" w:name="_Toc90339171"/>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7</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000000"/>
                <w:kern w:val="0"/>
                <w:sz w:val="21"/>
                <w:szCs w:val="21"/>
                <w:lang w:bidi="ar"/>
              </w:rPr>
              <w:t>市场进入初期投资预测表</w:t>
            </w:r>
            <w:bookmarkEnd w:id="448"/>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第一年</w:t>
            </w: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投资科目</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价格（元）</w:t>
            </w: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数量</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总价（元）</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硬件设备支出</w:t>
            </w:r>
          </w:p>
        </w:tc>
        <w:tc>
          <w:tcPr>
            <w:tcW w:w="2621"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办公地点租赁费及物业费</w:t>
            </w:r>
          </w:p>
        </w:tc>
        <w:tc>
          <w:tcPr>
            <w:tcW w:w="123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20000</w:t>
            </w:r>
          </w:p>
        </w:tc>
        <w:tc>
          <w:tcPr>
            <w:tcW w:w="1063"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服务器租赁费</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12000</w:t>
            </w: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12000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600" w:hRule="atLeast"/>
        </w:trPr>
        <w:tc>
          <w:tcPr>
            <w:tcW w:w="2003" w:type="dxa"/>
          </w:tcPr>
          <w:p>
            <w:pPr>
              <w:widowControl/>
              <w:jc w:val="center"/>
              <w:rPr>
                <w:rFonts w:ascii="宋体" w:hAnsi="宋体" w:cs="仿宋"/>
                <w:b/>
                <w:bCs/>
                <w:color w:val="000000"/>
                <w:kern w:val="0"/>
                <w:sz w:val="21"/>
                <w:szCs w:val="21"/>
                <w:lang w:bidi="ar"/>
              </w:rPr>
            </w:pPr>
          </w:p>
        </w:tc>
        <w:tc>
          <w:tcPr>
            <w:tcW w:w="2621"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固定资产购置（办公设备、技术设备等）</w:t>
            </w:r>
          </w:p>
        </w:tc>
        <w:tc>
          <w:tcPr>
            <w:tcW w:w="123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50000</w:t>
            </w:r>
          </w:p>
        </w:tc>
        <w:tc>
          <w:tcPr>
            <w:tcW w:w="1063"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50000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设备安装和维护</w:t>
            </w: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在建工程转固定资产</w:t>
            </w:r>
          </w:p>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/无形资产</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6000</w:t>
            </w: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6000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技术投入</w:t>
            </w:r>
          </w:p>
        </w:tc>
        <w:tc>
          <w:tcPr>
            <w:tcW w:w="2621"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研发支出</w:t>
            </w:r>
          </w:p>
        </w:tc>
        <w:tc>
          <w:tcPr>
            <w:tcW w:w="123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30000</w:t>
            </w:r>
          </w:p>
        </w:tc>
        <w:tc>
          <w:tcPr>
            <w:tcW w:w="1063"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推广费用</w:t>
            </w: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销售费用</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600</w:t>
            </w: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10</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6000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tcPr>
          <w:p>
            <w:pPr>
              <w:widowControl/>
              <w:jc w:val="center"/>
              <w:rPr>
                <w:rFonts w:ascii="宋体" w:hAnsi="宋体" w:cs="仿宋"/>
                <w:b/>
                <w:bCs/>
                <w:color w:val="000000"/>
                <w:kern w:val="0"/>
                <w:sz w:val="21"/>
                <w:szCs w:val="21"/>
                <w:lang w:bidi="ar"/>
              </w:rPr>
            </w:pPr>
          </w:p>
        </w:tc>
        <w:tc>
          <w:tcPr>
            <w:tcW w:w="2621"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差旅费用</w:t>
            </w:r>
          </w:p>
        </w:tc>
        <w:tc>
          <w:tcPr>
            <w:tcW w:w="123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2000</w:t>
            </w:r>
          </w:p>
        </w:tc>
        <w:tc>
          <w:tcPr>
            <w:tcW w:w="1063"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w:t>
            </w: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4000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外包生产</w:t>
            </w: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生产成本/</w:t>
            </w:r>
          </w:p>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委托加工物资</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60000</w:t>
            </w: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60000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人力成本</w:t>
            </w:r>
          </w:p>
        </w:tc>
        <w:tc>
          <w:tcPr>
            <w:tcW w:w="2621"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技术人员</w:t>
            </w:r>
          </w:p>
        </w:tc>
        <w:tc>
          <w:tcPr>
            <w:tcW w:w="1237" w:type="dxa"/>
          </w:tcPr>
          <w:p>
            <w:pPr>
              <w:widowControl/>
              <w:jc w:val="center"/>
              <w:rPr>
                <w:rFonts w:ascii="宋体" w:hAnsi="宋体" w:cs="仿宋"/>
                <w:color w:val="000000"/>
                <w:kern w:val="0"/>
                <w:sz w:val="21"/>
                <w:szCs w:val="21"/>
                <w:lang w:bidi="ar"/>
              </w:rPr>
            </w:pPr>
          </w:p>
        </w:tc>
        <w:tc>
          <w:tcPr>
            <w:tcW w:w="1063"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w:t>
            </w: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36000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财务人员</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24000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tcPr>
          <w:p>
            <w:pPr>
              <w:widowControl/>
              <w:jc w:val="center"/>
              <w:rPr>
                <w:rFonts w:ascii="宋体" w:hAnsi="宋体" w:cs="仿宋"/>
                <w:b/>
                <w:bCs/>
                <w:color w:val="000000"/>
                <w:kern w:val="0"/>
                <w:sz w:val="21"/>
                <w:szCs w:val="21"/>
                <w:lang w:bidi="ar"/>
              </w:rPr>
            </w:pPr>
          </w:p>
        </w:tc>
        <w:tc>
          <w:tcPr>
            <w:tcW w:w="2621"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市场人员</w:t>
            </w:r>
          </w:p>
        </w:tc>
        <w:tc>
          <w:tcPr>
            <w:tcW w:w="1237" w:type="dxa"/>
          </w:tcPr>
          <w:p>
            <w:pPr>
              <w:widowControl/>
              <w:jc w:val="center"/>
              <w:rPr>
                <w:rFonts w:ascii="宋体" w:hAnsi="宋体" w:cs="仿宋"/>
                <w:color w:val="000000"/>
                <w:kern w:val="0"/>
                <w:sz w:val="21"/>
                <w:szCs w:val="21"/>
                <w:lang w:bidi="ar"/>
              </w:rPr>
            </w:pPr>
          </w:p>
        </w:tc>
        <w:tc>
          <w:tcPr>
            <w:tcW w:w="1063"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w:t>
            </w: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36000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shd w:val="clear" w:color="auto" w:fill="E2EFD9" w:themeFill="accent6" w:themeFillTint="33"/>
          </w:tcPr>
          <w:p>
            <w:pPr>
              <w:widowControl/>
              <w:jc w:val="center"/>
              <w:rPr>
                <w:rFonts w:ascii="宋体" w:hAnsi="宋体" w:cs="仿宋"/>
                <w:b/>
                <w:bCs/>
                <w:color w:val="000000"/>
                <w:kern w:val="0"/>
                <w:sz w:val="21"/>
                <w:szCs w:val="21"/>
                <w:lang w:bidi="ar"/>
              </w:rPr>
            </w:pPr>
          </w:p>
        </w:tc>
        <w:tc>
          <w:tcPr>
            <w:tcW w:w="262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人力资源</w:t>
            </w:r>
          </w:p>
        </w:tc>
        <w:tc>
          <w:tcPr>
            <w:tcW w:w="1237" w:type="dxa"/>
            <w:shd w:val="clear" w:color="auto" w:fill="E2EFD9" w:themeFill="accent6" w:themeFillTint="33"/>
          </w:tcPr>
          <w:p>
            <w:pPr>
              <w:widowControl/>
              <w:jc w:val="center"/>
              <w:rPr>
                <w:rFonts w:ascii="宋体" w:hAnsi="宋体" w:cs="仿宋"/>
                <w:color w:val="000000"/>
                <w:kern w:val="0"/>
                <w:sz w:val="21"/>
                <w:szCs w:val="21"/>
                <w:lang w:bidi="ar"/>
              </w:rPr>
            </w:pPr>
          </w:p>
        </w:tc>
        <w:tc>
          <w:tcPr>
            <w:tcW w:w="10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w:t>
            </w:r>
          </w:p>
        </w:tc>
        <w:tc>
          <w:tcPr>
            <w:tcW w:w="1842"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12000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67" w:hRule="atLeast"/>
        </w:trPr>
        <w:tc>
          <w:tcPr>
            <w:tcW w:w="2003"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合计</w:t>
            </w:r>
          </w:p>
        </w:tc>
        <w:tc>
          <w:tcPr>
            <w:tcW w:w="2621" w:type="dxa"/>
          </w:tcPr>
          <w:p>
            <w:pPr>
              <w:widowControl/>
              <w:jc w:val="center"/>
              <w:rPr>
                <w:rFonts w:ascii="宋体" w:hAnsi="宋体" w:cs="仿宋"/>
                <w:color w:val="000000"/>
                <w:kern w:val="0"/>
                <w:sz w:val="21"/>
                <w:szCs w:val="21"/>
                <w:lang w:bidi="ar"/>
              </w:rPr>
            </w:pPr>
          </w:p>
        </w:tc>
        <w:tc>
          <w:tcPr>
            <w:tcW w:w="1237" w:type="dxa"/>
          </w:tcPr>
          <w:p>
            <w:pPr>
              <w:widowControl/>
              <w:jc w:val="center"/>
              <w:rPr>
                <w:rFonts w:ascii="宋体" w:hAnsi="宋体" w:cs="仿宋"/>
                <w:color w:val="000000"/>
                <w:kern w:val="0"/>
                <w:sz w:val="21"/>
                <w:szCs w:val="21"/>
                <w:lang w:bidi="ar"/>
              </w:rPr>
            </w:pPr>
          </w:p>
        </w:tc>
        <w:tc>
          <w:tcPr>
            <w:tcW w:w="1063" w:type="dxa"/>
          </w:tcPr>
          <w:p>
            <w:pPr>
              <w:widowControl/>
              <w:jc w:val="center"/>
              <w:rPr>
                <w:rFonts w:ascii="宋体" w:hAnsi="宋体" w:cs="仿宋"/>
                <w:color w:val="000000"/>
                <w:kern w:val="0"/>
                <w:sz w:val="21"/>
                <w:szCs w:val="21"/>
                <w:lang w:bidi="ar"/>
              </w:rPr>
            </w:pPr>
          </w:p>
        </w:tc>
        <w:tc>
          <w:tcPr>
            <w:tcW w:w="1842"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296000</w:t>
            </w:r>
          </w:p>
        </w:tc>
      </w:tr>
    </w:tbl>
    <w:p>
      <w:pPr>
        <w:pStyle w:val="4"/>
      </w:pPr>
      <w:bookmarkStart w:id="449" w:name="_Toc19733"/>
      <w:bookmarkStart w:id="450" w:name="_Toc16172"/>
      <w:bookmarkStart w:id="451" w:name="_Toc11650"/>
      <w:bookmarkStart w:id="452" w:name="_Toc19474"/>
      <w:bookmarkStart w:id="453" w:name="_Toc90339120"/>
      <w:r>
        <w:rPr>
          <w:rFonts w:hint="eastAsia"/>
        </w:rPr>
        <w:t>未来五年收支情况预测</w:t>
      </w:r>
      <w:bookmarkEnd w:id="449"/>
      <w:bookmarkEnd w:id="450"/>
      <w:bookmarkEnd w:id="451"/>
      <w:bookmarkEnd w:id="452"/>
      <w:bookmarkEnd w:id="453"/>
    </w:p>
    <w:p>
      <w:pPr>
        <w:pStyle w:val="37"/>
        <w:ind w:firstLine="560"/>
      </w:pPr>
      <w:r>
        <w:rPr>
          <w:rFonts w:hint="eastAsia"/>
        </w:rPr>
        <w:t>（1）五年支出情况分析</w:t>
      </w:r>
    </w:p>
    <w:p>
      <w:pPr>
        <w:pStyle w:val="37"/>
        <w:ind w:firstLine="560"/>
      </w:pPr>
      <w:r>
        <w:rPr>
          <w:rFonts w:hint="eastAsia"/>
        </w:rPr>
        <w:t>我司的主要支出用于产品外包生产、产品研发优化、产品宣传推广以及公司正常日常运营的开销。在未来五年的支出组成主要为生产成本，营业成本，管理费用、销售费用。</w:t>
      </w:r>
    </w:p>
    <w:p>
      <w:pPr>
        <w:widowControl/>
        <w:ind w:firstLine="480" w:firstLineChars="200"/>
        <w:jc w:val="left"/>
        <w:rPr>
          <w:rFonts w:ascii="仿宋" w:hAnsi="仿宋" w:eastAsia="仿宋" w:cs="仿宋"/>
        </w:rPr>
      </w:pPr>
    </w:p>
    <w:tbl>
      <w:tblPr>
        <w:tblStyle w:val="40"/>
        <w:tblW w:w="0" w:type="auto"/>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764"/>
        <w:gridCol w:w="2007"/>
        <w:gridCol w:w="1056"/>
        <w:gridCol w:w="1139"/>
        <w:gridCol w:w="1216"/>
        <w:gridCol w:w="1253"/>
        <w:gridCol w:w="1087"/>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7"/>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FFFFFF" w:themeColor="background1"/>
                <w:sz w:val="21"/>
                <w:szCs w:val="21"/>
                <w14:textFill>
                  <w14:solidFill>
                    <w14:schemeClr w14:val="bg1"/>
                  </w14:solidFill>
                </w14:textFill>
              </w:rPr>
            </w:pPr>
            <w:bookmarkStart w:id="454" w:name="_Toc90339172"/>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8</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FFFFFF" w:themeColor="background1"/>
                <w:sz w:val="21"/>
                <w:szCs w:val="21"/>
                <w14:textFill>
                  <w14:solidFill>
                    <w14:schemeClr w14:val="bg1"/>
                  </w14:solidFill>
                </w14:textFill>
              </w:rPr>
              <w:t>未来五年支出情况预测</w:t>
            </w:r>
            <w:bookmarkEnd w:id="454"/>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90" w:hRule="atLeast"/>
        </w:trPr>
        <w:tc>
          <w:tcPr>
            <w:tcW w:w="764"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支出</w:t>
            </w: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项目</w:t>
            </w:r>
          </w:p>
        </w:tc>
        <w:tc>
          <w:tcPr>
            <w:tcW w:w="1056"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第一年</w:t>
            </w:r>
          </w:p>
        </w:tc>
        <w:tc>
          <w:tcPr>
            <w:tcW w:w="1139"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第二年</w:t>
            </w:r>
          </w:p>
        </w:tc>
        <w:tc>
          <w:tcPr>
            <w:tcW w:w="1216"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第三年</w:t>
            </w:r>
          </w:p>
        </w:tc>
        <w:tc>
          <w:tcPr>
            <w:tcW w:w="125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第四年</w:t>
            </w:r>
          </w:p>
        </w:tc>
        <w:tc>
          <w:tcPr>
            <w:tcW w:w="108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第五年</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restart"/>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生产成本</w:t>
            </w: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外包生产</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150,000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157,500</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165,375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182,750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207,575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技术研发</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105,000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110,250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132,300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158,760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合计</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250,000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105,000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275,625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315,050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366,335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90" w:hRule="atLeast"/>
        </w:trPr>
        <w:tc>
          <w:tcPr>
            <w:tcW w:w="764" w:type="dxa"/>
            <w:vMerge w:val="restart"/>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营业成本</w:t>
            </w: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无形资产</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90" w:hRule="atLeast"/>
        </w:trPr>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办公地点租赁以及物业费</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服务器租赁费</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22,000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22,000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675" w:hRule="atLeast"/>
        </w:trPr>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系统安装和维护费</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7,000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8,000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其他费用</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2,400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合计</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139,000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40,200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41,400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84,000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86,400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restart"/>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管理费用</w:t>
            </w: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应付职工薪酬</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108,000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108,000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118,800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129,600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140,400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差旅费</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6,000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8,000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11,000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折旧和摊销</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21,000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21,000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21,000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其他费用</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1,400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2,400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合计</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134,000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136,200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149,200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163,600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176,800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restart"/>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销售费用</w:t>
            </w: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市场部门</w:t>
            </w:r>
          </w:p>
        </w:tc>
        <w:tc>
          <w:tcPr>
            <w:tcW w:w="1056" w:type="dxa"/>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24,000 </w:t>
            </w:r>
          </w:p>
        </w:tc>
        <w:tc>
          <w:tcPr>
            <w:tcW w:w="1139" w:type="dxa"/>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25,000 </w:t>
            </w:r>
          </w:p>
        </w:tc>
        <w:tc>
          <w:tcPr>
            <w:tcW w:w="1216" w:type="dxa"/>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26,400 </w:t>
            </w:r>
          </w:p>
        </w:tc>
        <w:tc>
          <w:tcPr>
            <w:tcW w:w="1253" w:type="dxa"/>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28,800 </w:t>
            </w:r>
          </w:p>
        </w:tc>
        <w:tc>
          <w:tcPr>
            <w:tcW w:w="1087" w:type="dxa"/>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31,200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289" w:hRule="atLeast"/>
        </w:trPr>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广告投放</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41,000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42,000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45,000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47,000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tcPr>
          <w:p>
            <w:pPr>
              <w:widowControl/>
              <w:jc w:val="center"/>
              <w:rPr>
                <w:rFonts w:ascii="宋体" w:hAnsi="宋体" w:cs="仿宋"/>
                <w:b/>
                <w:bCs/>
                <w:color w:val="000000"/>
                <w:kern w:val="0"/>
                <w:sz w:val="21"/>
                <w:szCs w:val="21"/>
                <w:lang w:bidi="ar"/>
              </w:rPr>
            </w:pPr>
          </w:p>
        </w:tc>
        <w:tc>
          <w:tcPr>
            <w:tcW w:w="2007"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其他费用</w:t>
            </w:r>
          </w:p>
        </w:tc>
        <w:tc>
          <w:tcPr>
            <w:tcW w:w="10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 </w:t>
            </w:r>
          </w:p>
        </w:tc>
        <w:tc>
          <w:tcPr>
            <w:tcW w:w="113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1,200 </w:t>
            </w:r>
          </w:p>
        </w:tc>
        <w:tc>
          <w:tcPr>
            <w:tcW w:w="121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1,400 </w:t>
            </w:r>
          </w:p>
        </w:tc>
        <w:tc>
          <w:tcPr>
            <w:tcW w:w="125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 </w:t>
            </w:r>
          </w:p>
        </w:tc>
        <w:tc>
          <w:tcPr>
            <w:tcW w:w="1087"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2,400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764"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2007"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合计</w:t>
            </w:r>
          </w:p>
        </w:tc>
        <w:tc>
          <w:tcPr>
            <w:tcW w:w="10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65,000 </w:t>
            </w:r>
          </w:p>
        </w:tc>
        <w:tc>
          <w:tcPr>
            <w:tcW w:w="113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67,200 </w:t>
            </w:r>
          </w:p>
        </w:tc>
        <w:tc>
          <w:tcPr>
            <w:tcW w:w="121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69,800 </w:t>
            </w:r>
          </w:p>
        </w:tc>
        <w:tc>
          <w:tcPr>
            <w:tcW w:w="125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75,800 </w:t>
            </w:r>
          </w:p>
        </w:tc>
        <w:tc>
          <w:tcPr>
            <w:tcW w:w="1087"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80,600 </w:t>
            </w:r>
          </w:p>
        </w:tc>
      </w:tr>
    </w:tbl>
    <w:p>
      <w:pPr>
        <w:widowControl/>
        <w:jc w:val="center"/>
        <w:rPr>
          <w:rFonts w:ascii="仿宋" w:hAnsi="仿宋" w:eastAsia="仿宋" w:cs="仿宋"/>
          <w:color w:val="000000"/>
          <w:kern w:val="0"/>
          <w:lang w:bidi="ar"/>
        </w:rPr>
      </w:pPr>
    </w:p>
    <w:p>
      <w:pPr>
        <w:pStyle w:val="37"/>
        <w:ind w:firstLine="560"/>
      </w:pPr>
      <w:r>
        <w:rPr>
          <w:rFonts w:hint="eastAsia"/>
        </w:rPr>
        <w:t>（2）五年收入情况分析</w:t>
      </w:r>
    </w:p>
    <w:p>
      <w:pPr>
        <w:pStyle w:val="37"/>
        <w:ind w:firstLine="560"/>
      </w:pPr>
      <w:r>
        <w:rPr>
          <w:rFonts w:hint="eastAsia"/>
        </w:rPr>
        <w:t>我司在未来五年的主要收入来源于产品的销售所得、产品售后系列服务收费和产品衍生项目收入所得等。</w:t>
      </w:r>
    </w:p>
    <w:p>
      <w:pPr>
        <w:pStyle w:val="37"/>
        <w:ind w:firstLine="560"/>
      </w:pPr>
    </w:p>
    <w:p>
      <w:pPr>
        <w:pStyle w:val="37"/>
        <w:ind w:firstLine="560"/>
      </w:pPr>
    </w:p>
    <w:p>
      <w:pPr>
        <w:pStyle w:val="37"/>
        <w:ind w:firstLine="560"/>
        <w:rPr>
          <w:rFonts w:hint="eastAsia"/>
        </w:rPr>
      </w:pPr>
    </w:p>
    <w:tbl>
      <w:tblPr>
        <w:tblStyle w:val="40"/>
        <w:tblW w:w="9022"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820"/>
        <w:gridCol w:w="968"/>
        <w:gridCol w:w="1304"/>
        <w:gridCol w:w="1479"/>
        <w:gridCol w:w="1466"/>
        <w:gridCol w:w="1479"/>
        <w:gridCol w:w="1506"/>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9022" w:type="dxa"/>
            <w:gridSpan w:val="7"/>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auto"/>
                <w:sz w:val="21"/>
                <w:szCs w:val="21"/>
              </w:rPr>
            </w:pPr>
            <w:bookmarkStart w:id="455" w:name="_Toc90339173"/>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9</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000000"/>
                <w:kern w:val="0"/>
                <w:sz w:val="21"/>
                <w:szCs w:val="21"/>
                <w:lang w:bidi="ar"/>
              </w:rPr>
              <w:t>未来五年收入情况预测</w:t>
            </w:r>
            <w:bookmarkEnd w:id="455"/>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20"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收入</w:t>
            </w:r>
          </w:p>
        </w:tc>
        <w:tc>
          <w:tcPr>
            <w:tcW w:w="968"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项目</w:t>
            </w:r>
          </w:p>
        </w:tc>
        <w:tc>
          <w:tcPr>
            <w:tcW w:w="1304"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第一年</w:t>
            </w:r>
          </w:p>
        </w:tc>
        <w:tc>
          <w:tcPr>
            <w:tcW w:w="1479"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第二年</w:t>
            </w:r>
          </w:p>
        </w:tc>
        <w:tc>
          <w:tcPr>
            <w:tcW w:w="1466"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第三年</w:t>
            </w:r>
          </w:p>
        </w:tc>
        <w:tc>
          <w:tcPr>
            <w:tcW w:w="1479"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第四年</w:t>
            </w:r>
          </w:p>
        </w:tc>
        <w:tc>
          <w:tcPr>
            <w:tcW w:w="1506"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第五年</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20" w:type="dxa"/>
            <w:vMerge w:val="restart"/>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产品销售所得</w:t>
            </w:r>
          </w:p>
        </w:tc>
        <w:tc>
          <w:tcPr>
            <w:tcW w:w="968"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销售量</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50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60</w:t>
            </w:r>
          </w:p>
        </w:tc>
        <w:tc>
          <w:tcPr>
            <w:tcW w:w="146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75</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90</w:t>
            </w:r>
          </w:p>
        </w:tc>
        <w:tc>
          <w:tcPr>
            <w:tcW w:w="150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20"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968"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单价</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170,000</w:t>
            </w:r>
          </w:p>
        </w:tc>
        <w:tc>
          <w:tcPr>
            <w:tcW w:w="147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175,000</w:t>
            </w:r>
          </w:p>
        </w:tc>
        <w:tc>
          <w:tcPr>
            <w:tcW w:w="146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179,000</w:t>
            </w:r>
          </w:p>
        </w:tc>
        <w:tc>
          <w:tcPr>
            <w:tcW w:w="147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182,000</w:t>
            </w:r>
          </w:p>
        </w:tc>
        <w:tc>
          <w:tcPr>
            <w:tcW w:w="150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190,000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20" w:type="dxa"/>
            <w:vMerge w:val="continue"/>
          </w:tcPr>
          <w:p>
            <w:pPr>
              <w:widowControl/>
              <w:jc w:val="center"/>
              <w:rPr>
                <w:rFonts w:ascii="宋体" w:hAnsi="宋体" w:cs="仿宋"/>
                <w:b/>
                <w:bCs/>
                <w:color w:val="000000"/>
                <w:kern w:val="0"/>
                <w:sz w:val="21"/>
                <w:szCs w:val="21"/>
                <w:lang w:bidi="ar"/>
              </w:rPr>
            </w:pPr>
          </w:p>
        </w:tc>
        <w:tc>
          <w:tcPr>
            <w:tcW w:w="968"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销售额</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8,500,000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10,500,000</w:t>
            </w:r>
          </w:p>
        </w:tc>
        <w:tc>
          <w:tcPr>
            <w:tcW w:w="146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13,425,000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16,380,000</w:t>
            </w:r>
          </w:p>
        </w:tc>
        <w:tc>
          <w:tcPr>
            <w:tcW w:w="150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19,000,000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20" w:type="dxa"/>
            <w:vMerge w:val="continue"/>
            <w:shd w:val="clear" w:color="auto" w:fill="E2EFD9" w:themeFill="accent6" w:themeFillTint="33"/>
          </w:tcPr>
          <w:p>
            <w:pPr>
              <w:widowControl/>
              <w:jc w:val="center"/>
              <w:rPr>
                <w:rFonts w:ascii="宋体" w:hAnsi="宋体" w:cs="仿宋"/>
                <w:b/>
                <w:bCs/>
                <w:color w:val="000000"/>
                <w:kern w:val="0"/>
                <w:sz w:val="21"/>
                <w:szCs w:val="21"/>
                <w:lang w:bidi="ar"/>
              </w:rPr>
            </w:pPr>
          </w:p>
        </w:tc>
        <w:tc>
          <w:tcPr>
            <w:tcW w:w="968"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产品成本</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7,500,000</w:t>
            </w:r>
          </w:p>
        </w:tc>
        <w:tc>
          <w:tcPr>
            <w:tcW w:w="147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9,450,000</w:t>
            </w:r>
          </w:p>
        </w:tc>
        <w:tc>
          <w:tcPr>
            <w:tcW w:w="146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11,812,500</w:t>
            </w:r>
          </w:p>
        </w:tc>
        <w:tc>
          <w:tcPr>
            <w:tcW w:w="147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14,175,000</w:t>
            </w:r>
          </w:p>
        </w:tc>
        <w:tc>
          <w:tcPr>
            <w:tcW w:w="150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15,750,000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20" w:type="dxa"/>
            <w:vMerge w:val="continue"/>
          </w:tcPr>
          <w:p>
            <w:pPr>
              <w:widowControl/>
              <w:jc w:val="center"/>
              <w:rPr>
                <w:rFonts w:ascii="宋体" w:hAnsi="宋体" w:cs="仿宋"/>
                <w:b/>
                <w:bCs/>
                <w:color w:val="000000"/>
                <w:kern w:val="0"/>
                <w:sz w:val="21"/>
                <w:szCs w:val="21"/>
                <w:lang w:bidi="ar"/>
              </w:rPr>
            </w:pPr>
          </w:p>
        </w:tc>
        <w:tc>
          <w:tcPr>
            <w:tcW w:w="968"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销售毛利</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1,000,000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1,050,000</w:t>
            </w:r>
          </w:p>
        </w:tc>
        <w:tc>
          <w:tcPr>
            <w:tcW w:w="146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1,612,500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2,205,000</w:t>
            </w:r>
          </w:p>
        </w:tc>
        <w:tc>
          <w:tcPr>
            <w:tcW w:w="150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3,250,000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77" w:hRule="atLeast"/>
        </w:trPr>
        <w:tc>
          <w:tcPr>
            <w:tcW w:w="820"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服务收费</w:t>
            </w:r>
          </w:p>
        </w:tc>
        <w:tc>
          <w:tcPr>
            <w:tcW w:w="968"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技术服务收入</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200,000</w:t>
            </w:r>
          </w:p>
        </w:tc>
        <w:tc>
          <w:tcPr>
            <w:tcW w:w="147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240,000</w:t>
            </w:r>
          </w:p>
        </w:tc>
        <w:tc>
          <w:tcPr>
            <w:tcW w:w="146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300,000</w:t>
            </w:r>
          </w:p>
        </w:tc>
        <w:tc>
          <w:tcPr>
            <w:tcW w:w="147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360,000</w:t>
            </w:r>
          </w:p>
        </w:tc>
        <w:tc>
          <w:tcPr>
            <w:tcW w:w="150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400,000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463" w:hRule="atLeast"/>
        </w:trPr>
        <w:tc>
          <w:tcPr>
            <w:tcW w:w="820"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衍生项目</w:t>
            </w:r>
          </w:p>
        </w:tc>
        <w:tc>
          <w:tcPr>
            <w:tcW w:w="968" w:type="dxa"/>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其他业务收入</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80,000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85,000</w:t>
            </w:r>
          </w:p>
        </w:tc>
        <w:tc>
          <w:tcPr>
            <w:tcW w:w="146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95,000</w:t>
            </w:r>
          </w:p>
        </w:tc>
        <w:tc>
          <w:tcPr>
            <w:tcW w:w="147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150,000</w:t>
            </w:r>
          </w:p>
        </w:tc>
        <w:tc>
          <w:tcPr>
            <w:tcW w:w="150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463" w:hRule="atLeast"/>
        </w:trPr>
        <w:tc>
          <w:tcPr>
            <w:tcW w:w="820"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合计</w:t>
            </w:r>
          </w:p>
        </w:tc>
        <w:tc>
          <w:tcPr>
            <w:tcW w:w="968" w:type="dxa"/>
            <w:shd w:val="clear" w:color="auto" w:fill="E2EFD9" w:themeFill="accent6" w:themeFillTint="33"/>
          </w:tcPr>
          <w:p>
            <w:pPr>
              <w:widowControl/>
              <w:jc w:val="center"/>
              <w:rPr>
                <w:rFonts w:ascii="宋体" w:hAnsi="宋体" w:cs="仿宋"/>
                <w:color w:val="000000"/>
                <w:kern w:val="0"/>
                <w:sz w:val="21"/>
                <w:szCs w:val="21"/>
                <w:lang w:bidi="ar"/>
              </w:rPr>
            </w:pPr>
          </w:p>
        </w:tc>
        <w:tc>
          <w:tcPr>
            <w:tcW w:w="1304" w:type="dxa"/>
            <w:shd w:val="clear" w:color="auto" w:fill="E2EFD9" w:themeFill="accent6" w:themeFillTint="33"/>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1,280,000</w:t>
            </w:r>
          </w:p>
        </w:tc>
        <w:tc>
          <w:tcPr>
            <w:tcW w:w="1479" w:type="dxa"/>
            <w:shd w:val="clear" w:color="auto" w:fill="E2EFD9" w:themeFill="accent6" w:themeFillTint="33"/>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1,375,000</w:t>
            </w:r>
          </w:p>
        </w:tc>
        <w:tc>
          <w:tcPr>
            <w:tcW w:w="1466" w:type="dxa"/>
            <w:shd w:val="clear" w:color="auto" w:fill="E2EFD9" w:themeFill="accent6" w:themeFillTint="33"/>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2,007,500</w:t>
            </w:r>
          </w:p>
        </w:tc>
        <w:tc>
          <w:tcPr>
            <w:tcW w:w="1479" w:type="dxa"/>
            <w:shd w:val="clear" w:color="auto" w:fill="E2EFD9" w:themeFill="accent6" w:themeFillTint="33"/>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2,715,000</w:t>
            </w:r>
          </w:p>
        </w:tc>
        <w:tc>
          <w:tcPr>
            <w:tcW w:w="1506" w:type="dxa"/>
            <w:shd w:val="clear" w:color="auto" w:fill="E2EFD9" w:themeFill="accent6" w:themeFillTint="33"/>
          </w:tcPr>
          <w:p>
            <w:pPr>
              <w:widowControl/>
              <w:jc w:val="center"/>
              <w:textAlignment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3,820,000</w:t>
            </w:r>
          </w:p>
        </w:tc>
      </w:tr>
    </w:tbl>
    <w:p>
      <w:pPr>
        <w:pStyle w:val="3"/>
        <w:rPr>
          <w:rFonts w:hint="eastAsia"/>
        </w:rPr>
      </w:pPr>
      <w:bookmarkStart w:id="456" w:name="_Toc30920"/>
      <w:bookmarkStart w:id="457" w:name="_Toc24834"/>
      <w:bookmarkStart w:id="458" w:name="_Toc21077"/>
      <w:bookmarkStart w:id="459" w:name="_Toc90339121"/>
      <w:bookmarkStart w:id="460" w:name="_Toc16982"/>
      <w:r>
        <w:rPr>
          <w:rFonts w:hint="eastAsia"/>
        </w:rPr>
        <w:t>财务报表</w:t>
      </w:r>
      <w:bookmarkEnd w:id="456"/>
      <w:bookmarkEnd w:id="457"/>
      <w:bookmarkEnd w:id="458"/>
      <w:bookmarkEnd w:id="459"/>
      <w:bookmarkEnd w:id="460"/>
    </w:p>
    <w:p>
      <w:pPr>
        <w:pStyle w:val="4"/>
        <w:rPr>
          <w:lang w:bidi="ar"/>
        </w:rPr>
      </w:pPr>
      <w:bookmarkStart w:id="461" w:name="_Toc26006"/>
      <w:bookmarkStart w:id="462" w:name="_Toc17391"/>
      <w:bookmarkStart w:id="463" w:name="_Toc10309"/>
      <w:bookmarkStart w:id="464" w:name="_Toc31748"/>
      <w:bookmarkStart w:id="465" w:name="_Toc90339122"/>
      <w:r>
        <w:rPr>
          <w:rFonts w:hint="eastAsia"/>
          <w:lang w:bidi="ar"/>
        </w:rPr>
        <w:t>预计利润表</w:t>
      </w:r>
      <w:bookmarkEnd w:id="461"/>
      <w:bookmarkEnd w:id="462"/>
      <w:bookmarkEnd w:id="463"/>
      <w:bookmarkEnd w:id="464"/>
      <w:bookmarkEnd w:id="465"/>
    </w:p>
    <w:tbl>
      <w:tblPr>
        <w:tblStyle w:val="40"/>
        <w:tblW w:w="0" w:type="auto"/>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2122"/>
        <w:gridCol w:w="1280"/>
        <w:gridCol w:w="1266"/>
        <w:gridCol w:w="1301"/>
        <w:gridCol w:w="1266"/>
        <w:gridCol w:w="1287"/>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6"/>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auto"/>
                <w:sz w:val="21"/>
                <w:szCs w:val="21"/>
              </w:rPr>
            </w:pPr>
            <w:bookmarkStart w:id="466" w:name="_Toc90339174"/>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10</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000000"/>
                <w:kern w:val="0"/>
                <w:sz w:val="21"/>
                <w:szCs w:val="21"/>
                <w:lang w:bidi="ar"/>
              </w:rPr>
              <w:t>利润表</w:t>
            </w:r>
            <w:bookmarkEnd w:id="466"/>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项目</w:t>
            </w:r>
          </w:p>
        </w:tc>
        <w:tc>
          <w:tcPr>
            <w:tcW w:w="1291"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第一年</w:t>
            </w:r>
          </w:p>
        </w:tc>
        <w:tc>
          <w:tcPr>
            <w:tcW w:w="1156"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第二年</w:t>
            </w:r>
          </w:p>
        </w:tc>
        <w:tc>
          <w:tcPr>
            <w:tcW w:w="1304"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第三年</w:t>
            </w:r>
          </w:p>
        </w:tc>
        <w:tc>
          <w:tcPr>
            <w:tcW w:w="1224"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第四年</w:t>
            </w:r>
          </w:p>
        </w:tc>
        <w:tc>
          <w:tcPr>
            <w:tcW w:w="1289"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第五年</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一、主营业务收入</w:t>
            </w:r>
          </w:p>
        </w:tc>
        <w:tc>
          <w:tcPr>
            <w:tcW w:w="1291"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8,500,000</w:t>
            </w:r>
          </w:p>
        </w:tc>
        <w:tc>
          <w:tcPr>
            <w:tcW w:w="11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10,500,000</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13,425,000</w:t>
            </w:r>
          </w:p>
        </w:tc>
        <w:tc>
          <w:tcPr>
            <w:tcW w:w="122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16,380,000</w:t>
            </w:r>
          </w:p>
        </w:tc>
        <w:tc>
          <w:tcPr>
            <w:tcW w:w="128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19,000,000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减：主营业务成本</w:t>
            </w:r>
          </w:p>
        </w:tc>
        <w:tc>
          <w:tcPr>
            <w:tcW w:w="1291"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7,739,000</w:t>
            </w:r>
          </w:p>
        </w:tc>
        <w:tc>
          <w:tcPr>
            <w:tcW w:w="11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9,595,200</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11,964,150</w:t>
            </w:r>
          </w:p>
        </w:tc>
        <w:tc>
          <w:tcPr>
            <w:tcW w:w="122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14,391,300</w:t>
            </w:r>
          </w:p>
        </w:tc>
        <w:tc>
          <w:tcPr>
            <w:tcW w:w="128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15,995,160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税金及附加</w:t>
            </w:r>
          </w:p>
        </w:tc>
        <w:tc>
          <w:tcPr>
            <w:tcW w:w="1291" w:type="dxa"/>
          </w:tcPr>
          <w:p>
            <w:pPr>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156" w:type="dxa"/>
          </w:tcPr>
          <w:p>
            <w:pPr>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304" w:type="dxa"/>
          </w:tcPr>
          <w:p>
            <w:pPr>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224" w:type="dxa"/>
          </w:tcPr>
          <w:p>
            <w:pPr>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289" w:type="dxa"/>
          </w:tcPr>
          <w:p>
            <w:pPr>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销售费用</w:t>
            </w:r>
          </w:p>
        </w:tc>
        <w:tc>
          <w:tcPr>
            <w:tcW w:w="1291"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65,000</w:t>
            </w:r>
          </w:p>
        </w:tc>
        <w:tc>
          <w:tcPr>
            <w:tcW w:w="11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67,200</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69,800</w:t>
            </w:r>
          </w:p>
        </w:tc>
        <w:tc>
          <w:tcPr>
            <w:tcW w:w="122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75,800</w:t>
            </w:r>
          </w:p>
        </w:tc>
        <w:tc>
          <w:tcPr>
            <w:tcW w:w="128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80,600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管理费用</w:t>
            </w:r>
          </w:p>
        </w:tc>
        <w:tc>
          <w:tcPr>
            <w:tcW w:w="1291"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134,000</w:t>
            </w:r>
          </w:p>
        </w:tc>
        <w:tc>
          <w:tcPr>
            <w:tcW w:w="11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136,200</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149,200</w:t>
            </w:r>
          </w:p>
        </w:tc>
        <w:tc>
          <w:tcPr>
            <w:tcW w:w="122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163,600</w:t>
            </w:r>
          </w:p>
        </w:tc>
        <w:tc>
          <w:tcPr>
            <w:tcW w:w="128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176,800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财务费用</w:t>
            </w:r>
          </w:p>
        </w:tc>
        <w:tc>
          <w:tcPr>
            <w:tcW w:w="1291"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1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22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c>
          <w:tcPr>
            <w:tcW w:w="128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二、营业利润</w:t>
            </w:r>
          </w:p>
        </w:tc>
        <w:tc>
          <w:tcPr>
            <w:tcW w:w="1291"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562,000</w:t>
            </w:r>
          </w:p>
        </w:tc>
        <w:tc>
          <w:tcPr>
            <w:tcW w:w="11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701,400</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1,241,850</w:t>
            </w:r>
          </w:p>
        </w:tc>
        <w:tc>
          <w:tcPr>
            <w:tcW w:w="122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1,749,300</w:t>
            </w:r>
          </w:p>
        </w:tc>
        <w:tc>
          <w:tcPr>
            <w:tcW w:w="128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2,747,440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三、利润总额</w:t>
            </w:r>
          </w:p>
        </w:tc>
        <w:tc>
          <w:tcPr>
            <w:tcW w:w="1291"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562,000</w:t>
            </w:r>
          </w:p>
        </w:tc>
        <w:tc>
          <w:tcPr>
            <w:tcW w:w="11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701,400</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1,241,850</w:t>
            </w:r>
          </w:p>
        </w:tc>
        <w:tc>
          <w:tcPr>
            <w:tcW w:w="122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1,749,300</w:t>
            </w:r>
          </w:p>
        </w:tc>
        <w:tc>
          <w:tcPr>
            <w:tcW w:w="128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2,747,440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减：所得税费用</w:t>
            </w:r>
          </w:p>
        </w:tc>
        <w:tc>
          <w:tcPr>
            <w:tcW w:w="1291"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140,500</w:t>
            </w:r>
          </w:p>
        </w:tc>
        <w:tc>
          <w:tcPr>
            <w:tcW w:w="1156"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175,350</w:t>
            </w:r>
          </w:p>
        </w:tc>
        <w:tc>
          <w:tcPr>
            <w:tcW w:w="130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310,463</w:t>
            </w:r>
          </w:p>
        </w:tc>
        <w:tc>
          <w:tcPr>
            <w:tcW w:w="122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437,325</w:t>
            </w:r>
          </w:p>
        </w:tc>
        <w:tc>
          <w:tcPr>
            <w:tcW w:w="1289"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686,860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58"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净利润</w:t>
            </w:r>
          </w:p>
        </w:tc>
        <w:tc>
          <w:tcPr>
            <w:tcW w:w="1291"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421,500</w:t>
            </w:r>
          </w:p>
        </w:tc>
        <w:tc>
          <w:tcPr>
            <w:tcW w:w="1156"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526,050</w:t>
            </w:r>
          </w:p>
        </w:tc>
        <w:tc>
          <w:tcPr>
            <w:tcW w:w="130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931,388</w:t>
            </w:r>
          </w:p>
        </w:tc>
        <w:tc>
          <w:tcPr>
            <w:tcW w:w="122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1,311,975</w:t>
            </w:r>
          </w:p>
        </w:tc>
        <w:tc>
          <w:tcPr>
            <w:tcW w:w="1289"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2,060,580</w:t>
            </w:r>
          </w:p>
        </w:tc>
      </w:tr>
    </w:tbl>
    <w:p>
      <w:pPr>
        <w:pStyle w:val="4"/>
        <w:rPr>
          <w:lang w:bidi="ar"/>
        </w:rPr>
      </w:pPr>
      <w:bookmarkStart w:id="467" w:name="_Toc29671"/>
      <w:bookmarkStart w:id="468" w:name="_Toc7221"/>
      <w:bookmarkStart w:id="469" w:name="_Toc24357"/>
      <w:bookmarkStart w:id="470" w:name="_Toc27098"/>
      <w:bookmarkStart w:id="471" w:name="_Toc90339123"/>
      <w:r>
        <w:rPr>
          <w:rFonts w:hint="eastAsia"/>
          <w:lang w:bidi="ar"/>
        </w:rPr>
        <w:t>预计资产负债表</w:t>
      </w:r>
      <w:bookmarkEnd w:id="467"/>
      <w:bookmarkEnd w:id="468"/>
      <w:bookmarkEnd w:id="469"/>
      <w:bookmarkEnd w:id="470"/>
      <w:bookmarkEnd w:id="471"/>
    </w:p>
    <w:tbl>
      <w:tblPr>
        <w:tblStyle w:val="40"/>
        <w:tblW w:w="0" w:type="auto"/>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2245"/>
        <w:gridCol w:w="1263"/>
        <w:gridCol w:w="1264"/>
        <w:gridCol w:w="1318"/>
        <w:gridCol w:w="1264"/>
        <w:gridCol w:w="1168"/>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6"/>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auto"/>
                <w:sz w:val="21"/>
                <w:szCs w:val="21"/>
              </w:rPr>
            </w:pPr>
            <w:bookmarkStart w:id="472" w:name="_Toc90339175"/>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11</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000000"/>
                <w:kern w:val="0"/>
                <w:sz w:val="21"/>
                <w:szCs w:val="21"/>
                <w:lang w:bidi="ar"/>
              </w:rPr>
              <w:t>资产负债表</w:t>
            </w:r>
            <w:bookmarkEnd w:id="472"/>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项目</w:t>
            </w:r>
          </w:p>
        </w:tc>
        <w:tc>
          <w:tcPr>
            <w:tcW w:w="1263"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第一年</w:t>
            </w:r>
          </w:p>
        </w:tc>
        <w:tc>
          <w:tcPr>
            <w:tcW w:w="1264"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第二年</w:t>
            </w:r>
          </w:p>
        </w:tc>
        <w:tc>
          <w:tcPr>
            <w:tcW w:w="1318"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第三年</w:t>
            </w:r>
          </w:p>
        </w:tc>
        <w:tc>
          <w:tcPr>
            <w:tcW w:w="1264"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第四年</w:t>
            </w:r>
          </w:p>
        </w:tc>
        <w:tc>
          <w:tcPr>
            <w:tcW w:w="1168" w:type="dxa"/>
            <w:shd w:val="clear" w:color="auto" w:fill="E2EFD9" w:themeFill="accent6" w:themeFillTint="33"/>
          </w:tcPr>
          <w:p>
            <w:pPr>
              <w:widowControl/>
              <w:jc w:val="center"/>
              <w:rPr>
                <w:rFonts w:ascii="宋体" w:hAnsi="宋体" w:cs="仿宋"/>
                <w:color w:val="000000"/>
                <w:kern w:val="0"/>
                <w:sz w:val="21"/>
                <w:szCs w:val="21"/>
                <w:lang w:bidi="ar"/>
              </w:rPr>
            </w:pPr>
            <w:r>
              <w:rPr>
                <w:rFonts w:hint="eastAsia" w:ascii="宋体" w:hAnsi="宋体" w:cs="仿宋"/>
                <w:color w:val="000000"/>
                <w:kern w:val="0"/>
                <w:sz w:val="21"/>
                <w:szCs w:val="21"/>
                <w:lang w:bidi="ar"/>
              </w:rPr>
              <w:t>第五年</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6"/>
          </w:tcPr>
          <w:p>
            <w:pPr>
              <w:widowControl/>
              <w:ind w:firstLine="422" w:firstLineChars="200"/>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流动资产：</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货币资金</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670,650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641,455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713,714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802,698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1,013,308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应收账款</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850,000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1,050,000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1,342,500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1,638,000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1,900,000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ind w:firstLine="211" w:firstLineChars="100"/>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流动资产合计</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1,520,650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1,691,455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2,056,214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2,440,698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2,913,308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6"/>
          </w:tcPr>
          <w:p>
            <w:pPr>
              <w:widowControl/>
              <w:ind w:firstLine="422" w:firstLineChars="200"/>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非流动资产：</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固定资产原值</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减：累计折旧</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ind w:left="422" w:hanging="422" w:hangingChars="200"/>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固定资产减值准备</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固定资产净值</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30,000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无形资产</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400,000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center"/>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减：累计摊销</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无形资产减值准备</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无形资产净值</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380,000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360,000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340,000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320,000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300,000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开发支出</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105,000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110,250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132,300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158,760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15" w:hRule="atLeast"/>
        </w:trPr>
        <w:tc>
          <w:tcPr>
            <w:tcW w:w="2245" w:type="dxa"/>
          </w:tcPr>
          <w:p>
            <w:pPr>
              <w:widowControl/>
              <w:ind w:firstLine="211" w:firstLineChars="100"/>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非流动资产合计</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520,000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495,000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470,250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462,300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458,760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ind w:firstLine="211" w:firstLineChars="100"/>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资产合计</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2,040,650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2,186,455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2,526,464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2,902,998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3,372,068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6"/>
          </w:tcPr>
          <w:p>
            <w:pPr>
              <w:widowControl/>
              <w:ind w:firstLine="422" w:firstLineChars="200"/>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负债：</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应付账款</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750,000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850,500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1,004,063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1,204,875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1,338,750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应付股利</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应付职工薪酬</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108,000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108,000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118,800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129,600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140,400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应交税费</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140,500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175,350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310,463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437,325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686,860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ind w:firstLine="211" w:firstLineChars="100"/>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负债合计</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998,500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1,133,850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1,433,325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1,771,800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2,166,010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6"/>
          </w:tcPr>
          <w:p>
            <w:pPr>
              <w:widowControl/>
              <w:ind w:firstLine="422" w:firstLineChars="200"/>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所有者权益：</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实收资本</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1,000,000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盈余公积</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42,150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52,605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93,139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131,198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206,058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未分配利润</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0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tcPr>
          <w:p>
            <w:pPr>
              <w:widowControl/>
              <w:ind w:firstLine="211" w:firstLineChars="100"/>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所有者权益合计</w:t>
            </w:r>
          </w:p>
        </w:tc>
        <w:tc>
          <w:tcPr>
            <w:tcW w:w="1263"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1,042,150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1,052,605 </w:t>
            </w:r>
          </w:p>
        </w:tc>
        <w:tc>
          <w:tcPr>
            <w:tcW w:w="131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1,093,139 </w:t>
            </w:r>
          </w:p>
        </w:tc>
        <w:tc>
          <w:tcPr>
            <w:tcW w:w="1264"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1,131,198 </w:t>
            </w:r>
          </w:p>
        </w:tc>
        <w:tc>
          <w:tcPr>
            <w:tcW w:w="1168" w:type="dxa"/>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1,206,058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245" w:type="dxa"/>
            <w:shd w:val="clear" w:color="auto" w:fill="E2EFD9" w:themeFill="accent6" w:themeFillTint="33"/>
          </w:tcPr>
          <w:p>
            <w:pPr>
              <w:widowControl/>
              <w:ind w:left="274" w:leftChars="114"/>
              <w:jc w:val="left"/>
              <w:rPr>
                <w:rFonts w:ascii="宋体" w:hAnsi="宋体" w:cs="仿宋"/>
                <w:b/>
                <w:bCs/>
                <w:color w:val="000000"/>
                <w:kern w:val="0"/>
                <w:sz w:val="21"/>
                <w:szCs w:val="21"/>
                <w:lang w:bidi="ar"/>
              </w:rPr>
            </w:pPr>
            <w:r>
              <w:rPr>
                <w:rFonts w:hint="eastAsia" w:ascii="宋体" w:hAnsi="宋体" w:cs="仿宋"/>
                <w:b/>
                <w:bCs/>
                <w:color w:val="000000"/>
                <w:kern w:val="0"/>
                <w:sz w:val="21"/>
                <w:szCs w:val="21"/>
                <w:lang w:bidi="ar"/>
              </w:rPr>
              <w:t>负债及所有者权益合计</w:t>
            </w:r>
          </w:p>
        </w:tc>
        <w:tc>
          <w:tcPr>
            <w:tcW w:w="1263"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2,040,650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2,186,455 </w:t>
            </w:r>
          </w:p>
        </w:tc>
        <w:tc>
          <w:tcPr>
            <w:tcW w:w="131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2,526,464 </w:t>
            </w:r>
          </w:p>
        </w:tc>
        <w:tc>
          <w:tcPr>
            <w:tcW w:w="1264"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2,902,998 </w:t>
            </w:r>
          </w:p>
        </w:tc>
        <w:tc>
          <w:tcPr>
            <w:tcW w:w="1168" w:type="dxa"/>
            <w:shd w:val="clear" w:color="auto" w:fill="E2EFD9" w:themeFill="accent6" w:themeFillTint="33"/>
          </w:tcPr>
          <w:p>
            <w:pPr>
              <w:widowControl/>
              <w:jc w:val="center"/>
              <w:textAlignment w:val="top"/>
              <w:rPr>
                <w:rFonts w:ascii="宋体" w:hAnsi="宋体" w:cs="仿宋"/>
                <w:color w:val="000000"/>
                <w:kern w:val="0"/>
                <w:sz w:val="21"/>
                <w:szCs w:val="21"/>
                <w:lang w:bidi="ar"/>
              </w:rPr>
            </w:pPr>
            <w:r>
              <w:rPr>
                <w:rFonts w:hint="eastAsia" w:ascii="宋体" w:hAnsi="宋体" w:cs="仿宋"/>
                <w:color w:val="000000"/>
                <w:kern w:val="0"/>
                <w:sz w:val="21"/>
                <w:szCs w:val="21"/>
                <w:lang w:bidi="ar"/>
              </w:rPr>
              <w:t xml:space="preserve">3,372,068 </w:t>
            </w:r>
          </w:p>
        </w:tc>
      </w:tr>
    </w:tbl>
    <w:p>
      <w:pPr>
        <w:pStyle w:val="3"/>
        <w:rPr>
          <w:lang w:bidi="ar"/>
        </w:rPr>
      </w:pPr>
      <w:bookmarkStart w:id="473" w:name="_Toc10295"/>
      <w:bookmarkStart w:id="474" w:name="_Toc6320"/>
      <w:bookmarkStart w:id="475" w:name="_Toc23081"/>
      <w:bookmarkStart w:id="476" w:name="_Toc90339124"/>
      <w:bookmarkStart w:id="477" w:name="_Toc16678"/>
      <w:r>
        <w:rPr>
          <w:rFonts w:hint="eastAsia"/>
          <w:lang w:bidi="ar"/>
        </w:rPr>
        <w:t>主要财务指标分析</w:t>
      </w:r>
      <w:bookmarkEnd w:id="473"/>
      <w:bookmarkEnd w:id="474"/>
      <w:bookmarkEnd w:id="475"/>
      <w:bookmarkEnd w:id="476"/>
      <w:bookmarkEnd w:id="477"/>
      <w:bookmarkStart w:id="478" w:name="_Toc30780"/>
    </w:p>
    <w:p>
      <w:pPr>
        <w:pStyle w:val="4"/>
      </w:pPr>
      <w:bookmarkStart w:id="479" w:name="_Toc31864"/>
      <w:bookmarkStart w:id="480" w:name="_Toc3954"/>
      <w:bookmarkStart w:id="481" w:name="_Toc90339125"/>
      <w:bookmarkStart w:id="482" w:name="_Toc31922"/>
      <w:r>
        <w:rPr>
          <w:rFonts w:hint="eastAsia"/>
        </w:rPr>
        <w:t>基本财务目标</w:t>
      </w:r>
      <w:bookmarkEnd w:id="478"/>
      <w:bookmarkEnd w:id="479"/>
      <w:bookmarkEnd w:id="480"/>
      <w:bookmarkEnd w:id="481"/>
      <w:bookmarkEnd w:id="482"/>
    </w:p>
    <w:p>
      <w:pPr>
        <w:pStyle w:val="37"/>
        <w:ind w:firstLine="560"/>
        <w:rPr>
          <w:rFonts w:hint="eastAsia"/>
        </w:rPr>
      </w:pPr>
      <w:r>
        <w:rPr>
          <w:rFonts w:hint="eastAsia"/>
        </w:rPr>
        <w:t>公司基本财务目标旨在保持持续经营的同时增加股东权益，为股东创造财富，实现公司财务管理目标;充分考虑资金时间价值以及风险与报酬关系，使公司价值最大化。</w:t>
      </w:r>
    </w:p>
    <w:p>
      <w:pPr>
        <w:pStyle w:val="4"/>
      </w:pPr>
      <w:bookmarkStart w:id="483" w:name="_Toc15709"/>
      <w:bookmarkStart w:id="484" w:name="_Toc5037"/>
      <w:bookmarkStart w:id="485" w:name="_Toc90339126"/>
      <w:bookmarkStart w:id="486" w:name="_Toc6591"/>
      <w:bookmarkStart w:id="487" w:name="_Toc18250"/>
      <w:r>
        <w:rPr>
          <w:rFonts w:hint="eastAsia"/>
        </w:rPr>
        <w:t>财务指标分析</w:t>
      </w:r>
      <w:bookmarkEnd w:id="483"/>
      <w:bookmarkEnd w:id="484"/>
      <w:bookmarkEnd w:id="485"/>
      <w:bookmarkEnd w:id="486"/>
      <w:bookmarkEnd w:id="487"/>
    </w:p>
    <w:p>
      <w:pPr>
        <w:pStyle w:val="37"/>
        <w:ind w:firstLine="560"/>
      </w:pPr>
      <w:r>
        <w:rPr>
          <w:rFonts w:hint="eastAsia"/>
        </w:rPr>
        <w:t>（1）财务比例分析</w:t>
      </w:r>
    </w:p>
    <w:tbl>
      <w:tblPr>
        <w:tblStyle w:val="40"/>
        <w:tblW w:w="0" w:type="auto"/>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1290"/>
        <w:gridCol w:w="1331"/>
        <w:gridCol w:w="1237"/>
        <w:gridCol w:w="1129"/>
        <w:gridCol w:w="1116"/>
        <w:gridCol w:w="1224"/>
        <w:gridCol w:w="1195"/>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8522" w:type="dxa"/>
            <w:gridSpan w:val="7"/>
            <w:tcBorders>
              <w:top w:val="single" w:color="70AD47" w:themeColor="accent6" w:sz="4" w:space="0"/>
              <w:left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keepNext/>
              <w:jc w:val="center"/>
              <w:rPr>
                <w:rFonts w:ascii="宋体" w:hAnsi="宋体" w:eastAsia="宋体" w:cstheme="minorBidi"/>
                <w:b/>
                <w:bCs/>
                <w:color w:val="FFFFFF" w:themeColor="background1"/>
                <w:sz w:val="21"/>
                <w:szCs w:val="21"/>
                <w14:textFill>
                  <w14:solidFill>
                    <w14:schemeClr w14:val="bg1"/>
                  </w14:solidFill>
                </w14:textFill>
              </w:rPr>
            </w:pPr>
            <w:bookmarkStart w:id="488" w:name="_Toc90339176"/>
            <w:r>
              <w:rPr>
                <w:rFonts w:hint="eastAsia" w:ascii="宋体" w:hAnsi="宋体" w:eastAsia="宋体"/>
                <w:b/>
                <w:bCs/>
                <w:color w:val="FFFFFF" w:themeColor="background1"/>
                <w:sz w:val="21"/>
                <w:szCs w:val="21"/>
                <w14:textFill>
                  <w14:solidFill>
                    <w14:schemeClr w14:val="bg1"/>
                  </w14:solidFill>
                </w14:textFill>
              </w:rPr>
              <w:t xml:space="preserve">表格 </w:t>
            </w:r>
            <w:r>
              <w:rPr>
                <w:rFonts w:ascii="宋体" w:hAnsi="宋体" w:eastAsia="宋体"/>
                <w:b/>
                <w:bCs/>
                <w:color w:val="FFFFFF" w:themeColor="background1"/>
                <w:sz w:val="21"/>
                <w:szCs w:val="21"/>
                <w14:textFill>
                  <w14:solidFill>
                    <w14:schemeClr w14:val="bg1"/>
                  </w14:solidFill>
                </w14:textFill>
              </w:rPr>
              <w:fldChar w:fldCharType="begin"/>
            </w:r>
            <w:r>
              <w:rPr>
                <w:rFonts w:ascii="宋体" w:hAnsi="宋体" w:eastAsia="宋体"/>
                <w:b/>
                <w:bCs/>
                <w:color w:val="FFFFFF" w:themeColor="background1"/>
                <w:sz w:val="21"/>
                <w:szCs w:val="21"/>
                <w14:textFill>
                  <w14:solidFill>
                    <w14:schemeClr w14:val="bg1"/>
                  </w14:solidFill>
                </w14:textFill>
              </w:rPr>
              <w:instrText xml:space="preserve"> </w:instrText>
            </w:r>
            <w:r>
              <w:rPr>
                <w:rFonts w:hint="eastAsia" w:ascii="宋体" w:hAnsi="宋体" w:eastAsia="宋体"/>
                <w:b/>
                <w:bCs/>
                <w:color w:val="FFFFFF" w:themeColor="background1"/>
                <w:sz w:val="21"/>
                <w:szCs w:val="21"/>
                <w14:textFill>
                  <w14:solidFill>
                    <w14:schemeClr w14:val="bg1"/>
                  </w14:solidFill>
                </w14:textFill>
              </w:rPr>
              <w:instrText xml:space="preserve">SEQ 表格 \* ARABIC</w:instrText>
            </w:r>
            <w:r>
              <w:rPr>
                <w:rFonts w:ascii="宋体" w:hAnsi="宋体" w:eastAsia="宋体"/>
                <w:b/>
                <w:bCs/>
                <w:color w:val="FFFFFF" w:themeColor="background1"/>
                <w:sz w:val="21"/>
                <w:szCs w:val="21"/>
                <w14:textFill>
                  <w14:solidFill>
                    <w14:schemeClr w14:val="bg1"/>
                  </w14:solidFill>
                </w14:textFill>
              </w:rPr>
              <w:instrText xml:space="preserve"> </w:instrText>
            </w:r>
            <w:r>
              <w:rPr>
                <w:rFonts w:ascii="宋体" w:hAnsi="宋体" w:eastAsia="宋体"/>
                <w:b/>
                <w:bCs/>
                <w:color w:val="FFFFFF" w:themeColor="background1"/>
                <w:sz w:val="21"/>
                <w:szCs w:val="21"/>
                <w14:textFill>
                  <w14:solidFill>
                    <w14:schemeClr w14:val="bg1"/>
                  </w14:solidFill>
                </w14:textFill>
              </w:rPr>
              <w:fldChar w:fldCharType="separate"/>
            </w:r>
            <w:r>
              <w:rPr>
                <w:rFonts w:ascii="宋体" w:hAnsi="宋体" w:eastAsia="宋体"/>
                <w:b/>
                <w:bCs/>
                <w:color w:val="FFFFFF" w:themeColor="background1"/>
                <w:sz w:val="21"/>
                <w:szCs w:val="21"/>
                <w14:textFill>
                  <w14:solidFill>
                    <w14:schemeClr w14:val="bg1"/>
                  </w14:solidFill>
                </w14:textFill>
              </w:rPr>
              <w:t>12</w:t>
            </w:r>
            <w:r>
              <w:rPr>
                <w:rFonts w:ascii="宋体" w:hAnsi="宋体" w:eastAsia="宋体"/>
                <w:b/>
                <w:bCs/>
                <w:color w:val="FFFFFF" w:themeColor="background1"/>
                <w:sz w:val="21"/>
                <w:szCs w:val="21"/>
                <w14:textFill>
                  <w14:solidFill>
                    <w14:schemeClr w14:val="bg1"/>
                  </w14:solidFill>
                </w14:textFill>
              </w:rPr>
              <w:fldChar w:fldCharType="end"/>
            </w:r>
            <w:r>
              <w:rPr>
                <w:rFonts w:hint="eastAsia" w:ascii="宋体" w:hAnsi="宋体" w:eastAsia="宋体" w:cs="仿宋"/>
                <w:b/>
                <w:bCs/>
                <w:color w:val="FFFFFF" w:themeColor="background1"/>
                <w:sz w:val="21"/>
                <w:szCs w:val="21"/>
                <w14:textFill>
                  <w14:solidFill>
                    <w14:schemeClr w14:val="bg1"/>
                  </w14:solidFill>
                </w14:textFill>
              </w:rPr>
              <w:t>财务比例分析表</w:t>
            </w:r>
            <w:bookmarkEnd w:id="488"/>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2621" w:type="dxa"/>
            <w:gridSpan w:val="2"/>
            <w:shd w:val="clear" w:color="auto" w:fill="E2EFD9" w:themeFill="accent6" w:themeFillTint="33"/>
          </w:tcPr>
          <w:p>
            <w:pPr>
              <w:widowControl/>
              <w:jc w:val="center"/>
              <w:rPr>
                <w:rFonts w:ascii="宋体" w:hAnsi="宋体" w:cs="仿宋"/>
                <w:b/>
                <w:bCs/>
                <w:sz w:val="21"/>
                <w:szCs w:val="21"/>
              </w:rPr>
            </w:pPr>
            <w:r>
              <w:rPr>
                <w:rFonts w:hint="eastAsia" w:ascii="宋体" w:hAnsi="宋体" w:cs="仿宋"/>
                <w:b/>
                <w:bCs/>
                <w:sz w:val="21"/>
                <w:szCs w:val="21"/>
              </w:rPr>
              <w:t>项目</w:t>
            </w:r>
          </w:p>
        </w:tc>
        <w:tc>
          <w:tcPr>
            <w:tcW w:w="1237"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第一年</w:t>
            </w:r>
          </w:p>
        </w:tc>
        <w:tc>
          <w:tcPr>
            <w:tcW w:w="1129"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第二年</w:t>
            </w:r>
          </w:p>
        </w:tc>
        <w:tc>
          <w:tcPr>
            <w:tcW w:w="1116"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第三年</w:t>
            </w:r>
          </w:p>
        </w:tc>
        <w:tc>
          <w:tcPr>
            <w:tcW w:w="1224"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第四年</w:t>
            </w:r>
          </w:p>
        </w:tc>
        <w:tc>
          <w:tcPr>
            <w:tcW w:w="1195"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第五年</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restart"/>
          </w:tcPr>
          <w:p>
            <w:pPr>
              <w:widowControl/>
              <w:jc w:val="left"/>
              <w:rPr>
                <w:rFonts w:ascii="宋体" w:hAnsi="宋体" w:cs="仿宋"/>
                <w:b/>
                <w:bCs/>
                <w:sz w:val="21"/>
                <w:szCs w:val="21"/>
              </w:rPr>
            </w:pPr>
            <w:r>
              <w:rPr>
                <w:rFonts w:hint="eastAsia" w:ascii="宋体" w:hAnsi="宋体" w:cs="仿宋"/>
                <w:b/>
                <w:bCs/>
                <w:sz w:val="21"/>
                <w:szCs w:val="21"/>
              </w:rPr>
              <w:t>短期偿债能力分析</w:t>
            </w:r>
          </w:p>
        </w:tc>
        <w:tc>
          <w:tcPr>
            <w:tcW w:w="1331" w:type="dxa"/>
          </w:tcPr>
          <w:p>
            <w:pPr>
              <w:widowControl/>
              <w:jc w:val="left"/>
              <w:rPr>
                <w:rFonts w:ascii="宋体" w:hAnsi="宋体" w:cs="仿宋"/>
                <w:sz w:val="21"/>
                <w:szCs w:val="21"/>
              </w:rPr>
            </w:pPr>
            <w:r>
              <w:rPr>
                <w:rFonts w:hint="eastAsia" w:ascii="宋体" w:hAnsi="宋体" w:cs="仿宋"/>
                <w:sz w:val="21"/>
                <w:szCs w:val="21"/>
              </w:rPr>
              <w:t>流动比率</w:t>
            </w:r>
          </w:p>
        </w:tc>
        <w:tc>
          <w:tcPr>
            <w:tcW w:w="1237" w:type="dxa"/>
          </w:tcPr>
          <w:p>
            <w:pPr>
              <w:widowControl/>
              <w:jc w:val="center"/>
              <w:rPr>
                <w:rFonts w:ascii="宋体" w:hAnsi="宋体" w:cs="仿宋"/>
                <w:sz w:val="21"/>
                <w:szCs w:val="21"/>
              </w:rPr>
            </w:pPr>
            <w:r>
              <w:rPr>
                <w:rFonts w:hint="eastAsia" w:ascii="宋体" w:hAnsi="宋体" w:cs="仿宋"/>
                <w:sz w:val="21"/>
                <w:szCs w:val="21"/>
              </w:rPr>
              <w:t>1.52</w:t>
            </w:r>
          </w:p>
        </w:tc>
        <w:tc>
          <w:tcPr>
            <w:tcW w:w="1129" w:type="dxa"/>
          </w:tcPr>
          <w:p>
            <w:pPr>
              <w:widowControl/>
              <w:ind w:firstLine="210" w:firstLineChars="100"/>
              <w:rPr>
                <w:rFonts w:ascii="宋体" w:hAnsi="宋体" w:cs="仿宋"/>
                <w:sz w:val="21"/>
                <w:szCs w:val="21"/>
              </w:rPr>
            </w:pPr>
            <w:r>
              <w:rPr>
                <w:rFonts w:hint="eastAsia" w:ascii="宋体" w:hAnsi="宋体" w:cs="仿宋"/>
                <w:sz w:val="21"/>
                <w:szCs w:val="21"/>
              </w:rPr>
              <w:t>1.49</w:t>
            </w:r>
          </w:p>
        </w:tc>
        <w:tc>
          <w:tcPr>
            <w:tcW w:w="1116" w:type="dxa"/>
          </w:tcPr>
          <w:p>
            <w:pPr>
              <w:widowControl/>
              <w:jc w:val="center"/>
              <w:rPr>
                <w:rFonts w:ascii="宋体" w:hAnsi="宋体" w:cs="仿宋"/>
                <w:sz w:val="21"/>
                <w:szCs w:val="21"/>
              </w:rPr>
            </w:pPr>
            <w:r>
              <w:rPr>
                <w:rFonts w:hint="eastAsia" w:ascii="宋体" w:hAnsi="宋体" w:cs="仿宋"/>
                <w:sz w:val="21"/>
                <w:szCs w:val="21"/>
              </w:rPr>
              <w:t>1.61</w:t>
            </w:r>
          </w:p>
        </w:tc>
        <w:tc>
          <w:tcPr>
            <w:tcW w:w="1224" w:type="dxa"/>
          </w:tcPr>
          <w:p>
            <w:pPr>
              <w:widowControl/>
              <w:jc w:val="center"/>
              <w:rPr>
                <w:rFonts w:ascii="宋体" w:hAnsi="宋体" w:cs="仿宋"/>
                <w:sz w:val="21"/>
                <w:szCs w:val="21"/>
              </w:rPr>
            </w:pPr>
            <w:r>
              <w:rPr>
                <w:rFonts w:hint="eastAsia" w:ascii="宋体" w:hAnsi="宋体" w:cs="仿宋"/>
                <w:sz w:val="21"/>
                <w:szCs w:val="21"/>
              </w:rPr>
              <w:t>1.86</w:t>
            </w:r>
          </w:p>
        </w:tc>
        <w:tc>
          <w:tcPr>
            <w:tcW w:w="1195" w:type="dxa"/>
          </w:tcPr>
          <w:p>
            <w:pPr>
              <w:widowControl/>
              <w:jc w:val="center"/>
              <w:rPr>
                <w:rFonts w:ascii="宋体" w:hAnsi="宋体" w:cs="仿宋"/>
                <w:sz w:val="21"/>
                <w:szCs w:val="21"/>
              </w:rPr>
            </w:pPr>
            <w:r>
              <w:rPr>
                <w:rFonts w:hint="eastAsia" w:ascii="宋体" w:hAnsi="宋体" w:cs="仿宋"/>
                <w:sz w:val="21"/>
                <w:szCs w:val="21"/>
              </w:rPr>
              <w:t>2.11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continue"/>
            <w:shd w:val="clear" w:color="auto" w:fill="E2EFD9" w:themeFill="accent6" w:themeFillTint="33"/>
          </w:tcPr>
          <w:p>
            <w:pPr>
              <w:widowControl/>
              <w:jc w:val="left"/>
              <w:rPr>
                <w:rFonts w:ascii="宋体" w:hAnsi="宋体" w:cs="仿宋"/>
                <w:b/>
                <w:bCs/>
                <w:sz w:val="21"/>
                <w:szCs w:val="21"/>
              </w:rPr>
            </w:pPr>
          </w:p>
        </w:tc>
        <w:tc>
          <w:tcPr>
            <w:tcW w:w="1331"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速动比率</w:t>
            </w:r>
          </w:p>
        </w:tc>
        <w:tc>
          <w:tcPr>
            <w:tcW w:w="1237"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1.11</w:t>
            </w:r>
          </w:p>
        </w:tc>
        <w:tc>
          <w:tcPr>
            <w:tcW w:w="1129"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1.05</w:t>
            </w:r>
          </w:p>
        </w:tc>
        <w:tc>
          <w:tcPr>
            <w:tcW w:w="1116"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1.12</w:t>
            </w:r>
          </w:p>
        </w:tc>
        <w:tc>
          <w:tcPr>
            <w:tcW w:w="1224"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1.19</w:t>
            </w:r>
          </w:p>
        </w:tc>
        <w:tc>
          <w:tcPr>
            <w:tcW w:w="1195"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1.21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restart"/>
          </w:tcPr>
          <w:p>
            <w:pPr>
              <w:widowControl/>
              <w:jc w:val="left"/>
              <w:rPr>
                <w:rFonts w:ascii="宋体" w:hAnsi="宋体" w:cs="仿宋"/>
                <w:b/>
                <w:bCs/>
                <w:sz w:val="21"/>
                <w:szCs w:val="21"/>
              </w:rPr>
            </w:pPr>
            <w:r>
              <w:rPr>
                <w:rFonts w:hint="eastAsia" w:ascii="宋体" w:hAnsi="宋体" w:cs="仿宋"/>
                <w:b/>
                <w:bCs/>
                <w:sz w:val="21"/>
                <w:szCs w:val="21"/>
              </w:rPr>
              <w:t>长期偿债能力分析</w:t>
            </w:r>
          </w:p>
        </w:tc>
        <w:tc>
          <w:tcPr>
            <w:tcW w:w="1331" w:type="dxa"/>
          </w:tcPr>
          <w:p>
            <w:pPr>
              <w:widowControl/>
              <w:jc w:val="left"/>
              <w:rPr>
                <w:rFonts w:ascii="宋体" w:hAnsi="宋体" w:cs="仿宋"/>
                <w:sz w:val="21"/>
                <w:szCs w:val="21"/>
              </w:rPr>
            </w:pPr>
            <w:r>
              <w:rPr>
                <w:rFonts w:hint="eastAsia" w:ascii="宋体" w:hAnsi="宋体" w:cs="仿宋"/>
                <w:sz w:val="21"/>
                <w:szCs w:val="21"/>
              </w:rPr>
              <w:t>资产负债率</w:t>
            </w:r>
          </w:p>
        </w:tc>
        <w:tc>
          <w:tcPr>
            <w:tcW w:w="1237" w:type="dxa"/>
          </w:tcPr>
          <w:p>
            <w:pPr>
              <w:widowControl/>
              <w:jc w:val="center"/>
              <w:rPr>
                <w:rFonts w:ascii="宋体" w:hAnsi="宋体" w:cs="仿宋"/>
                <w:sz w:val="21"/>
                <w:szCs w:val="21"/>
              </w:rPr>
            </w:pPr>
            <w:r>
              <w:rPr>
                <w:rFonts w:hint="eastAsia" w:ascii="宋体" w:hAnsi="宋体" w:cs="仿宋"/>
                <w:sz w:val="21"/>
                <w:szCs w:val="21"/>
              </w:rPr>
              <w:t>48.93%</w:t>
            </w:r>
          </w:p>
        </w:tc>
        <w:tc>
          <w:tcPr>
            <w:tcW w:w="1129" w:type="dxa"/>
          </w:tcPr>
          <w:p>
            <w:pPr>
              <w:widowControl/>
              <w:jc w:val="center"/>
              <w:rPr>
                <w:rFonts w:ascii="宋体" w:hAnsi="宋体" w:cs="仿宋"/>
                <w:sz w:val="21"/>
                <w:szCs w:val="21"/>
              </w:rPr>
            </w:pPr>
            <w:r>
              <w:rPr>
                <w:rFonts w:hint="eastAsia" w:ascii="宋体" w:hAnsi="宋体" w:cs="仿宋"/>
                <w:sz w:val="21"/>
                <w:szCs w:val="21"/>
              </w:rPr>
              <w:t>51.86%</w:t>
            </w:r>
          </w:p>
        </w:tc>
        <w:tc>
          <w:tcPr>
            <w:tcW w:w="1116" w:type="dxa"/>
          </w:tcPr>
          <w:p>
            <w:pPr>
              <w:widowControl/>
              <w:jc w:val="center"/>
              <w:rPr>
                <w:rFonts w:ascii="宋体" w:hAnsi="宋体" w:cs="仿宋"/>
                <w:sz w:val="21"/>
                <w:szCs w:val="21"/>
              </w:rPr>
            </w:pPr>
            <w:r>
              <w:rPr>
                <w:rFonts w:hint="eastAsia" w:ascii="宋体" w:hAnsi="宋体" w:cs="仿宋"/>
                <w:sz w:val="21"/>
                <w:szCs w:val="21"/>
              </w:rPr>
              <w:t>56.73%</w:t>
            </w:r>
          </w:p>
        </w:tc>
        <w:tc>
          <w:tcPr>
            <w:tcW w:w="1224" w:type="dxa"/>
          </w:tcPr>
          <w:p>
            <w:pPr>
              <w:widowControl/>
              <w:jc w:val="center"/>
              <w:rPr>
                <w:rFonts w:ascii="宋体" w:hAnsi="宋体" w:cs="仿宋"/>
                <w:sz w:val="21"/>
                <w:szCs w:val="21"/>
              </w:rPr>
            </w:pPr>
            <w:r>
              <w:rPr>
                <w:rFonts w:hint="eastAsia" w:ascii="宋体" w:hAnsi="宋体" w:cs="仿宋"/>
                <w:sz w:val="21"/>
                <w:szCs w:val="21"/>
              </w:rPr>
              <w:t>61.03%</w:t>
            </w:r>
          </w:p>
        </w:tc>
        <w:tc>
          <w:tcPr>
            <w:tcW w:w="1195" w:type="dxa"/>
          </w:tcPr>
          <w:p>
            <w:pPr>
              <w:widowControl/>
              <w:jc w:val="center"/>
              <w:rPr>
                <w:rFonts w:ascii="宋体" w:hAnsi="宋体" w:cs="仿宋"/>
                <w:sz w:val="21"/>
                <w:szCs w:val="21"/>
              </w:rPr>
            </w:pPr>
            <w:r>
              <w:rPr>
                <w:rFonts w:hint="eastAsia" w:ascii="宋体" w:hAnsi="宋体" w:cs="仿宋"/>
                <w:sz w:val="21"/>
                <w:szCs w:val="21"/>
              </w:rPr>
              <w:t>64.23%</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continue"/>
            <w:shd w:val="clear" w:color="auto" w:fill="E2EFD9" w:themeFill="accent6" w:themeFillTint="33"/>
          </w:tcPr>
          <w:p>
            <w:pPr>
              <w:widowControl/>
              <w:jc w:val="left"/>
              <w:rPr>
                <w:rFonts w:ascii="宋体" w:hAnsi="宋体" w:cs="仿宋"/>
                <w:b/>
                <w:bCs/>
                <w:sz w:val="21"/>
                <w:szCs w:val="21"/>
              </w:rPr>
            </w:pPr>
          </w:p>
        </w:tc>
        <w:tc>
          <w:tcPr>
            <w:tcW w:w="1331"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产权比率</w:t>
            </w:r>
          </w:p>
        </w:tc>
        <w:tc>
          <w:tcPr>
            <w:tcW w:w="1237"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0.95</w:t>
            </w:r>
          </w:p>
        </w:tc>
        <w:tc>
          <w:tcPr>
            <w:tcW w:w="1129"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1.07</w:t>
            </w:r>
          </w:p>
        </w:tc>
        <w:tc>
          <w:tcPr>
            <w:tcW w:w="1116"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1.31</w:t>
            </w:r>
          </w:p>
        </w:tc>
        <w:tc>
          <w:tcPr>
            <w:tcW w:w="1224"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1.56</w:t>
            </w:r>
          </w:p>
        </w:tc>
        <w:tc>
          <w:tcPr>
            <w:tcW w:w="1195"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1.79</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restart"/>
          </w:tcPr>
          <w:p>
            <w:pPr>
              <w:widowControl/>
              <w:jc w:val="center"/>
              <w:rPr>
                <w:rFonts w:ascii="宋体" w:hAnsi="宋体" w:cs="仿宋"/>
                <w:b/>
                <w:bCs/>
                <w:sz w:val="21"/>
                <w:szCs w:val="21"/>
              </w:rPr>
            </w:pPr>
            <w:r>
              <w:rPr>
                <w:rFonts w:hint="eastAsia" w:ascii="宋体" w:hAnsi="宋体" w:cs="仿宋"/>
                <w:b/>
                <w:bCs/>
                <w:sz w:val="21"/>
                <w:szCs w:val="21"/>
              </w:rPr>
              <w:t>运营能力分析</w:t>
            </w:r>
          </w:p>
        </w:tc>
        <w:tc>
          <w:tcPr>
            <w:tcW w:w="1331" w:type="dxa"/>
          </w:tcPr>
          <w:p>
            <w:pPr>
              <w:widowControl/>
              <w:jc w:val="left"/>
              <w:rPr>
                <w:rFonts w:ascii="宋体" w:hAnsi="宋体" w:cs="仿宋"/>
                <w:sz w:val="21"/>
                <w:szCs w:val="21"/>
              </w:rPr>
            </w:pPr>
            <w:r>
              <w:rPr>
                <w:rFonts w:hint="eastAsia" w:ascii="宋体" w:hAnsi="宋体" w:cs="仿宋"/>
                <w:sz w:val="21"/>
                <w:szCs w:val="21"/>
              </w:rPr>
              <w:t>流动资产周转率</w:t>
            </w:r>
          </w:p>
        </w:tc>
        <w:tc>
          <w:tcPr>
            <w:tcW w:w="1237" w:type="dxa"/>
          </w:tcPr>
          <w:p>
            <w:pPr>
              <w:widowControl/>
              <w:jc w:val="center"/>
              <w:rPr>
                <w:rFonts w:ascii="宋体" w:hAnsi="宋体" w:cs="仿宋"/>
                <w:sz w:val="21"/>
                <w:szCs w:val="21"/>
              </w:rPr>
            </w:pPr>
            <w:r>
              <w:rPr>
                <w:rFonts w:hint="eastAsia" w:ascii="宋体" w:hAnsi="宋体" w:cs="仿宋"/>
                <w:sz w:val="21"/>
                <w:szCs w:val="21"/>
              </w:rPr>
              <w:t>35.01%</w:t>
            </w:r>
          </w:p>
        </w:tc>
        <w:tc>
          <w:tcPr>
            <w:tcW w:w="1129" w:type="dxa"/>
          </w:tcPr>
          <w:p>
            <w:pPr>
              <w:widowControl/>
              <w:jc w:val="center"/>
              <w:rPr>
                <w:rFonts w:ascii="宋体" w:hAnsi="宋体" w:cs="仿宋"/>
                <w:sz w:val="21"/>
                <w:szCs w:val="21"/>
              </w:rPr>
            </w:pPr>
            <w:r>
              <w:rPr>
                <w:rFonts w:hint="eastAsia" w:ascii="宋体" w:hAnsi="宋体" w:cs="仿宋"/>
                <w:sz w:val="21"/>
                <w:szCs w:val="21"/>
              </w:rPr>
              <w:t>37.43%</w:t>
            </w:r>
          </w:p>
        </w:tc>
        <w:tc>
          <w:tcPr>
            <w:tcW w:w="1116" w:type="dxa"/>
          </w:tcPr>
          <w:p>
            <w:pPr>
              <w:widowControl/>
              <w:jc w:val="center"/>
              <w:rPr>
                <w:rFonts w:ascii="宋体" w:hAnsi="宋体" w:cs="仿宋"/>
                <w:sz w:val="21"/>
                <w:szCs w:val="21"/>
              </w:rPr>
            </w:pPr>
            <w:r>
              <w:rPr>
                <w:rFonts w:hint="eastAsia" w:ascii="宋体" w:hAnsi="宋体" w:cs="仿宋"/>
                <w:sz w:val="21"/>
                <w:szCs w:val="21"/>
              </w:rPr>
              <w:t>55.23%</w:t>
            </w:r>
          </w:p>
        </w:tc>
        <w:tc>
          <w:tcPr>
            <w:tcW w:w="1224" w:type="dxa"/>
          </w:tcPr>
          <w:p>
            <w:pPr>
              <w:widowControl/>
              <w:jc w:val="center"/>
              <w:rPr>
                <w:rFonts w:ascii="宋体" w:hAnsi="宋体" w:cs="仿宋"/>
                <w:sz w:val="21"/>
                <w:szCs w:val="21"/>
              </w:rPr>
            </w:pPr>
            <w:r>
              <w:rPr>
                <w:rFonts w:hint="eastAsia" w:ascii="宋体" w:hAnsi="宋体" w:cs="仿宋"/>
                <w:sz w:val="21"/>
                <w:szCs w:val="21"/>
              </w:rPr>
              <w:t>65.34%</w:t>
            </w:r>
          </w:p>
        </w:tc>
        <w:tc>
          <w:tcPr>
            <w:tcW w:w="1195" w:type="dxa"/>
          </w:tcPr>
          <w:p>
            <w:pPr>
              <w:widowControl/>
              <w:jc w:val="center"/>
              <w:rPr>
                <w:rFonts w:ascii="宋体" w:hAnsi="宋体" w:cs="仿宋"/>
                <w:sz w:val="21"/>
                <w:szCs w:val="21"/>
              </w:rPr>
            </w:pPr>
            <w:r>
              <w:rPr>
                <w:rFonts w:hint="eastAsia" w:ascii="宋体" w:hAnsi="宋体" w:cs="仿宋"/>
                <w:sz w:val="21"/>
                <w:szCs w:val="21"/>
              </w:rPr>
              <w:t>80.36%</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continue"/>
            <w:shd w:val="clear" w:color="auto" w:fill="E2EFD9" w:themeFill="accent6" w:themeFillTint="33"/>
          </w:tcPr>
          <w:p>
            <w:pPr>
              <w:widowControl/>
              <w:jc w:val="left"/>
              <w:rPr>
                <w:rFonts w:ascii="宋体" w:hAnsi="宋体" w:cs="仿宋"/>
                <w:b/>
                <w:bCs/>
                <w:sz w:val="21"/>
                <w:szCs w:val="21"/>
              </w:rPr>
            </w:pPr>
          </w:p>
        </w:tc>
        <w:tc>
          <w:tcPr>
            <w:tcW w:w="1331"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应收账款周转率</w:t>
            </w:r>
          </w:p>
        </w:tc>
        <w:tc>
          <w:tcPr>
            <w:tcW w:w="1237"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8.94</w:t>
            </w:r>
          </w:p>
        </w:tc>
        <w:tc>
          <w:tcPr>
            <w:tcW w:w="1129"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8.78</w:t>
            </w:r>
          </w:p>
        </w:tc>
        <w:tc>
          <w:tcPr>
            <w:tcW w:w="1116"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9.01</w:t>
            </w:r>
          </w:p>
        </w:tc>
        <w:tc>
          <w:tcPr>
            <w:tcW w:w="1224"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9.26</w:t>
            </w:r>
          </w:p>
        </w:tc>
        <w:tc>
          <w:tcPr>
            <w:tcW w:w="1195"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9.58</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continue"/>
          </w:tcPr>
          <w:p>
            <w:pPr>
              <w:widowControl/>
              <w:jc w:val="left"/>
              <w:rPr>
                <w:rFonts w:ascii="宋体" w:hAnsi="宋体" w:cs="仿宋"/>
                <w:b/>
                <w:bCs/>
                <w:sz w:val="21"/>
                <w:szCs w:val="21"/>
              </w:rPr>
            </w:pPr>
          </w:p>
        </w:tc>
        <w:tc>
          <w:tcPr>
            <w:tcW w:w="1331" w:type="dxa"/>
          </w:tcPr>
          <w:p>
            <w:pPr>
              <w:widowControl/>
              <w:jc w:val="left"/>
              <w:rPr>
                <w:rFonts w:ascii="宋体" w:hAnsi="宋体" w:cs="仿宋"/>
                <w:sz w:val="21"/>
                <w:szCs w:val="21"/>
              </w:rPr>
            </w:pPr>
            <w:r>
              <w:rPr>
                <w:rFonts w:hint="eastAsia" w:ascii="宋体" w:hAnsi="宋体" w:cs="仿宋"/>
                <w:sz w:val="21"/>
                <w:szCs w:val="21"/>
              </w:rPr>
              <w:t>总资产周转率</w:t>
            </w:r>
          </w:p>
        </w:tc>
        <w:tc>
          <w:tcPr>
            <w:tcW w:w="1237" w:type="dxa"/>
          </w:tcPr>
          <w:p>
            <w:pPr>
              <w:widowControl/>
              <w:jc w:val="center"/>
              <w:rPr>
                <w:rFonts w:ascii="宋体" w:hAnsi="宋体" w:cs="仿宋"/>
                <w:sz w:val="21"/>
                <w:szCs w:val="21"/>
              </w:rPr>
            </w:pPr>
            <w:r>
              <w:rPr>
                <w:rFonts w:hint="eastAsia" w:ascii="宋体" w:hAnsi="宋体" w:cs="仿宋"/>
                <w:sz w:val="21"/>
                <w:szCs w:val="21"/>
              </w:rPr>
              <w:t>27.54%</w:t>
            </w:r>
          </w:p>
        </w:tc>
        <w:tc>
          <w:tcPr>
            <w:tcW w:w="1129" w:type="dxa"/>
          </w:tcPr>
          <w:p>
            <w:pPr>
              <w:widowControl/>
              <w:jc w:val="center"/>
              <w:rPr>
                <w:rFonts w:ascii="宋体" w:hAnsi="宋体" w:cs="仿宋"/>
                <w:sz w:val="21"/>
                <w:szCs w:val="21"/>
              </w:rPr>
            </w:pPr>
            <w:r>
              <w:rPr>
                <w:rFonts w:hint="eastAsia" w:ascii="宋体" w:hAnsi="宋体" w:cs="仿宋"/>
                <w:sz w:val="21"/>
                <w:szCs w:val="21"/>
              </w:rPr>
              <w:t>32.08%</w:t>
            </w:r>
          </w:p>
        </w:tc>
        <w:tc>
          <w:tcPr>
            <w:tcW w:w="1116" w:type="dxa"/>
          </w:tcPr>
          <w:p>
            <w:pPr>
              <w:widowControl/>
              <w:jc w:val="center"/>
              <w:rPr>
                <w:rFonts w:ascii="宋体" w:hAnsi="宋体" w:cs="仿宋"/>
                <w:sz w:val="21"/>
                <w:szCs w:val="21"/>
              </w:rPr>
            </w:pPr>
            <w:r>
              <w:rPr>
                <w:rFonts w:hint="eastAsia" w:ascii="宋体" w:hAnsi="宋体" w:cs="仿宋"/>
                <w:sz w:val="21"/>
                <w:szCs w:val="21"/>
              </w:rPr>
              <w:t>49.15%</w:t>
            </w:r>
          </w:p>
        </w:tc>
        <w:tc>
          <w:tcPr>
            <w:tcW w:w="1224" w:type="dxa"/>
          </w:tcPr>
          <w:p>
            <w:pPr>
              <w:widowControl/>
              <w:jc w:val="center"/>
              <w:rPr>
                <w:rFonts w:ascii="宋体" w:hAnsi="宋体" w:cs="仿宋"/>
                <w:sz w:val="21"/>
                <w:szCs w:val="21"/>
              </w:rPr>
            </w:pPr>
            <w:r>
              <w:rPr>
                <w:rFonts w:hint="eastAsia" w:ascii="宋体" w:hAnsi="宋体" w:cs="仿宋"/>
                <w:sz w:val="21"/>
                <w:szCs w:val="21"/>
              </w:rPr>
              <w:t>60.25%</w:t>
            </w:r>
          </w:p>
        </w:tc>
        <w:tc>
          <w:tcPr>
            <w:tcW w:w="1195" w:type="dxa"/>
          </w:tcPr>
          <w:p>
            <w:pPr>
              <w:widowControl/>
              <w:jc w:val="center"/>
              <w:rPr>
                <w:rFonts w:ascii="宋体" w:hAnsi="宋体" w:cs="仿宋"/>
                <w:sz w:val="21"/>
                <w:szCs w:val="21"/>
              </w:rPr>
            </w:pPr>
            <w:r>
              <w:rPr>
                <w:rFonts w:hint="eastAsia" w:ascii="宋体" w:hAnsi="宋体" w:cs="仿宋"/>
                <w:sz w:val="21"/>
                <w:szCs w:val="21"/>
              </w:rPr>
              <w:t>81.47%</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restart"/>
            <w:shd w:val="clear" w:color="auto" w:fill="E2EFD9" w:themeFill="accent6" w:themeFillTint="33"/>
          </w:tcPr>
          <w:p>
            <w:pPr>
              <w:widowControl/>
              <w:jc w:val="left"/>
              <w:rPr>
                <w:rFonts w:ascii="宋体" w:hAnsi="宋体" w:cs="仿宋"/>
                <w:b/>
                <w:bCs/>
                <w:sz w:val="21"/>
                <w:szCs w:val="21"/>
              </w:rPr>
            </w:pPr>
            <w:r>
              <w:rPr>
                <w:rFonts w:hint="eastAsia" w:ascii="宋体" w:hAnsi="宋体" w:cs="仿宋"/>
                <w:b/>
                <w:bCs/>
                <w:sz w:val="21"/>
                <w:szCs w:val="21"/>
              </w:rPr>
              <w:t>盈利能力分析</w:t>
            </w:r>
          </w:p>
        </w:tc>
        <w:tc>
          <w:tcPr>
            <w:tcW w:w="1331" w:type="dxa"/>
            <w:shd w:val="clear" w:color="auto" w:fill="E2EFD9" w:themeFill="accent6" w:themeFillTint="33"/>
          </w:tcPr>
          <w:p>
            <w:pPr>
              <w:widowControl/>
              <w:jc w:val="left"/>
              <w:rPr>
                <w:rFonts w:ascii="宋体" w:hAnsi="宋体" w:cs="仿宋"/>
                <w:sz w:val="21"/>
                <w:szCs w:val="21"/>
              </w:rPr>
            </w:pPr>
            <w:r>
              <w:rPr>
                <w:rFonts w:hint="eastAsia" w:ascii="宋体" w:hAnsi="宋体" w:cs="仿宋"/>
                <w:sz w:val="21"/>
                <w:szCs w:val="21"/>
              </w:rPr>
              <w:t>销售净利率</w:t>
            </w:r>
          </w:p>
        </w:tc>
        <w:tc>
          <w:tcPr>
            <w:tcW w:w="1237"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15.06%</w:t>
            </w:r>
          </w:p>
        </w:tc>
        <w:tc>
          <w:tcPr>
            <w:tcW w:w="1129"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16.08%</w:t>
            </w:r>
          </w:p>
        </w:tc>
        <w:tc>
          <w:tcPr>
            <w:tcW w:w="1116"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21.5%</w:t>
            </w:r>
          </w:p>
        </w:tc>
        <w:tc>
          <w:tcPr>
            <w:tcW w:w="1224"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27.8%</w:t>
            </w:r>
          </w:p>
        </w:tc>
        <w:tc>
          <w:tcPr>
            <w:tcW w:w="1195" w:type="dxa"/>
            <w:shd w:val="clear" w:color="auto" w:fill="E2EFD9" w:themeFill="accent6" w:themeFillTint="33"/>
          </w:tcPr>
          <w:p>
            <w:pPr>
              <w:widowControl/>
              <w:jc w:val="center"/>
              <w:rPr>
                <w:rFonts w:ascii="宋体" w:hAnsi="宋体" w:cs="仿宋"/>
                <w:sz w:val="21"/>
                <w:szCs w:val="21"/>
              </w:rPr>
            </w:pPr>
            <w:r>
              <w:rPr>
                <w:rFonts w:hint="eastAsia" w:ascii="宋体" w:hAnsi="宋体" w:cs="仿宋"/>
                <w:sz w:val="21"/>
                <w:szCs w:val="21"/>
              </w:rPr>
              <w:t>30.5%</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c>
          <w:tcPr>
            <w:tcW w:w="1290" w:type="dxa"/>
            <w:vMerge w:val="continue"/>
          </w:tcPr>
          <w:p>
            <w:pPr>
              <w:widowControl/>
              <w:jc w:val="left"/>
              <w:rPr>
                <w:rFonts w:ascii="宋体" w:hAnsi="宋体" w:cs="仿宋"/>
                <w:b/>
                <w:bCs/>
                <w:sz w:val="21"/>
                <w:szCs w:val="21"/>
              </w:rPr>
            </w:pPr>
          </w:p>
        </w:tc>
        <w:tc>
          <w:tcPr>
            <w:tcW w:w="1331" w:type="dxa"/>
          </w:tcPr>
          <w:p>
            <w:pPr>
              <w:widowControl/>
              <w:jc w:val="left"/>
              <w:rPr>
                <w:rFonts w:ascii="宋体" w:hAnsi="宋体" w:cs="仿宋"/>
                <w:sz w:val="21"/>
                <w:szCs w:val="21"/>
              </w:rPr>
            </w:pPr>
            <w:r>
              <w:rPr>
                <w:rFonts w:hint="eastAsia" w:ascii="宋体" w:hAnsi="宋体" w:cs="仿宋"/>
                <w:sz w:val="21"/>
                <w:szCs w:val="21"/>
              </w:rPr>
              <w:t>资产净利率</w:t>
            </w:r>
          </w:p>
        </w:tc>
        <w:tc>
          <w:tcPr>
            <w:tcW w:w="1237" w:type="dxa"/>
          </w:tcPr>
          <w:p>
            <w:pPr>
              <w:widowControl/>
              <w:jc w:val="center"/>
              <w:rPr>
                <w:rFonts w:ascii="宋体" w:hAnsi="宋体" w:cs="仿宋"/>
                <w:sz w:val="21"/>
                <w:szCs w:val="21"/>
              </w:rPr>
            </w:pPr>
            <w:r>
              <w:rPr>
                <w:rFonts w:hint="eastAsia" w:ascii="宋体" w:hAnsi="宋体" w:cs="仿宋"/>
                <w:sz w:val="21"/>
                <w:szCs w:val="21"/>
              </w:rPr>
              <w:t>14.53%</w:t>
            </w:r>
          </w:p>
        </w:tc>
        <w:tc>
          <w:tcPr>
            <w:tcW w:w="1129" w:type="dxa"/>
          </w:tcPr>
          <w:p>
            <w:pPr>
              <w:widowControl/>
              <w:jc w:val="center"/>
              <w:rPr>
                <w:rFonts w:ascii="宋体" w:hAnsi="宋体" w:cs="仿宋"/>
                <w:sz w:val="21"/>
                <w:szCs w:val="21"/>
              </w:rPr>
            </w:pPr>
            <w:r>
              <w:rPr>
                <w:rFonts w:hint="eastAsia" w:ascii="宋体" w:hAnsi="宋体" w:cs="仿宋"/>
                <w:sz w:val="21"/>
                <w:szCs w:val="21"/>
              </w:rPr>
              <w:t>15.44%</w:t>
            </w:r>
          </w:p>
        </w:tc>
        <w:tc>
          <w:tcPr>
            <w:tcW w:w="1116" w:type="dxa"/>
          </w:tcPr>
          <w:p>
            <w:pPr>
              <w:widowControl/>
              <w:jc w:val="center"/>
              <w:rPr>
                <w:rFonts w:ascii="宋体" w:hAnsi="宋体" w:cs="仿宋"/>
                <w:sz w:val="21"/>
                <w:szCs w:val="21"/>
              </w:rPr>
            </w:pPr>
            <w:r>
              <w:rPr>
                <w:rFonts w:hint="eastAsia" w:ascii="宋体" w:hAnsi="宋体" w:cs="仿宋"/>
                <w:sz w:val="21"/>
                <w:szCs w:val="21"/>
              </w:rPr>
              <w:t>18.36%</w:t>
            </w:r>
          </w:p>
        </w:tc>
        <w:tc>
          <w:tcPr>
            <w:tcW w:w="1224" w:type="dxa"/>
          </w:tcPr>
          <w:p>
            <w:pPr>
              <w:widowControl/>
              <w:jc w:val="center"/>
              <w:rPr>
                <w:rFonts w:ascii="宋体" w:hAnsi="宋体" w:cs="仿宋"/>
                <w:sz w:val="21"/>
                <w:szCs w:val="21"/>
              </w:rPr>
            </w:pPr>
            <w:r>
              <w:rPr>
                <w:rFonts w:hint="eastAsia" w:ascii="宋体" w:hAnsi="宋体" w:cs="仿宋"/>
                <w:sz w:val="21"/>
                <w:szCs w:val="21"/>
              </w:rPr>
              <w:t>25.26%</w:t>
            </w:r>
          </w:p>
        </w:tc>
        <w:tc>
          <w:tcPr>
            <w:tcW w:w="1195" w:type="dxa"/>
          </w:tcPr>
          <w:p>
            <w:pPr>
              <w:widowControl/>
              <w:jc w:val="center"/>
              <w:rPr>
                <w:rFonts w:ascii="宋体" w:hAnsi="宋体" w:cs="仿宋"/>
                <w:sz w:val="21"/>
                <w:szCs w:val="21"/>
              </w:rPr>
            </w:pPr>
            <w:r>
              <w:rPr>
                <w:rFonts w:hint="eastAsia" w:ascii="宋体" w:hAnsi="宋体" w:cs="仿宋"/>
                <w:sz w:val="21"/>
                <w:szCs w:val="21"/>
              </w:rPr>
              <w:t>27.36%</w:t>
            </w:r>
          </w:p>
        </w:tc>
      </w:tr>
    </w:tbl>
    <w:p>
      <w:pPr>
        <w:pStyle w:val="37"/>
        <w:ind w:firstLine="560"/>
      </w:pPr>
    </w:p>
    <w:p>
      <w:pPr>
        <w:pStyle w:val="37"/>
        <w:ind w:firstLine="560"/>
      </w:pPr>
      <w:r>
        <w:rPr>
          <w:rFonts w:hint="eastAsia"/>
        </w:rPr>
        <w:t>流动比率表示企业流动资产中在短期债务到期时变现用</w:t>
      </w:r>
      <w:r>
        <w:rPr>
          <w:rFonts w:hint="eastAsia" w:ascii="仿宋" w:hAnsi="仿宋"/>
        </w:rPr>
        <w:t>于偿还流动负债的能力，速动比率表示的是公司是否有随时偿还流动负债的能力，财务分析显示，企业流动比率在1.7</w:t>
      </w:r>
      <w:r>
        <w:rPr>
          <w:rFonts w:hint="eastAsia"/>
        </w:rPr>
        <w:t>左右，速动比率</w:t>
      </w:r>
      <w:r>
        <w:rPr>
          <w:rFonts w:hint="eastAsia" w:ascii="仿宋" w:hAnsi="仿宋"/>
        </w:rPr>
        <w:t>在1.1</w:t>
      </w:r>
      <w:r>
        <w:rPr>
          <w:rFonts w:hint="eastAsia"/>
        </w:rPr>
        <w:t>左右，表示有良好的短期偿债能力；由于创业之初企业的资金</w:t>
      </w:r>
      <w:r>
        <w:rPr>
          <w:rFonts w:hint="eastAsia" w:ascii="仿宋" w:hAnsi="仿宋"/>
        </w:rPr>
        <w:t>周转会有</w:t>
      </w:r>
      <w:r>
        <w:rPr>
          <w:rFonts w:hint="eastAsia" w:ascii="微软雅黑" w:hAnsi="微软雅黑" w:eastAsia="微软雅黑" w:cs="微软雅黑"/>
        </w:rPr>
        <w:t>⼀</w:t>
      </w:r>
      <w:r>
        <w:rPr>
          <w:rFonts w:hint="eastAsia" w:ascii="仿宋" w:hAnsi="仿宋"/>
        </w:rPr>
        <w:t>定困难，因此在预算中，公司留有了较高的货币资金，使得流动和速动比率较高；企业成立初期，借款较少，负债主要为购买材料形成的应付账款，偿债能力较好；</w:t>
      </w:r>
      <w:r>
        <w:rPr>
          <w:rFonts w:hint="eastAsia"/>
        </w:rPr>
        <w:t xml:space="preserve"> </w:t>
      </w:r>
    </w:p>
    <w:p>
      <w:pPr>
        <w:pStyle w:val="37"/>
        <w:ind w:firstLine="560"/>
      </w:pPr>
      <w:r>
        <w:rPr>
          <w:rFonts w:hint="eastAsia"/>
        </w:rPr>
        <w:t>应收账款周转率是反映应收账款周转速度的指标，在一</w:t>
      </w:r>
      <w:r>
        <w:rPr>
          <w:rFonts w:hint="eastAsia" w:ascii="仿宋" w:hAnsi="仿宋"/>
        </w:rPr>
        <w:t>定时期内企业应收账款周转的次数较多，应收账款回收速度快，企业管理工作的效率高</w:t>
      </w:r>
      <w:r>
        <w:rPr>
          <w:rFonts w:hint="eastAsia"/>
        </w:rPr>
        <w:t>。表明企业能及时收回贷款，减少或避免发生坏帐损失的可能性，提</w:t>
      </w:r>
      <w:r>
        <w:rPr>
          <w:rFonts w:hint="eastAsia" w:ascii="微软雅黑" w:hAnsi="微软雅黑" w:eastAsia="微软雅黑" w:cs="微软雅黑"/>
        </w:rPr>
        <w:t>⾼</w:t>
      </w:r>
      <w:r>
        <w:rPr>
          <w:rFonts w:hint="eastAsia" w:ascii="仿宋" w:hAnsi="仿宋"/>
        </w:rPr>
        <w:t>企业资产的流动性，提高了企业营运能力；</w:t>
      </w:r>
    </w:p>
    <w:p>
      <w:pPr>
        <w:pStyle w:val="37"/>
        <w:ind w:firstLine="560"/>
        <w:rPr>
          <w:rFonts w:hint="eastAsia"/>
        </w:rPr>
      </w:pPr>
      <w:r>
        <w:rPr>
          <w:rFonts w:hint="eastAsia"/>
        </w:rPr>
        <w:t>盈利能力是公司赚取利润的能力</w:t>
      </w:r>
      <w:r>
        <w:rPr>
          <w:rFonts w:hint="eastAsia" w:ascii="仿宋" w:hAnsi="仿宋"/>
        </w:rPr>
        <w:t>，企业各盈利能力指标均连年增长，体现了企业良好的盈利能力。</w:t>
      </w:r>
    </w:p>
    <w:p>
      <w:pPr>
        <w:pStyle w:val="37"/>
        <w:ind w:firstLine="560"/>
      </w:pPr>
      <w:r>
        <w:rPr>
          <w:rFonts w:hint="eastAsia"/>
        </w:rPr>
        <w:t>（2）静态投资回收期</w:t>
      </w:r>
    </w:p>
    <w:p>
      <w:pPr>
        <w:pStyle w:val="37"/>
        <w:ind w:firstLine="560"/>
      </w:pPr>
      <w:r>
        <w:rPr>
          <w:rFonts w:hint="eastAsia"/>
        </w:rPr>
        <w:t xml:space="preserve">投资回收期是指投资项目经营净现金流量抵偿原始总投资所需要的全部时间，是评价投资可行性的重要指标，投资回收期越短，说明投资风险越小。 </w:t>
      </w:r>
    </w:p>
    <w:p>
      <w:pPr>
        <w:pStyle w:val="37"/>
        <w:ind w:firstLine="560"/>
      </w:pPr>
      <w:r>
        <w:rPr>
          <w:rFonts w:hint="eastAsia"/>
        </w:rPr>
        <w:t>根据公式可得，t=2.12.通过净现值流量、投资额等数据计算出回收期为2.12年，回收期较短，该项目在财务上可行。</w:t>
      </w:r>
    </w:p>
    <w:p>
      <w:pPr>
        <w:pStyle w:val="37"/>
        <w:ind w:firstLine="560"/>
      </w:pPr>
      <w:r>
        <w:rPr>
          <w:rFonts w:hint="eastAsia"/>
        </w:rPr>
        <w:t>（3）投资净现值（NPV）</w:t>
      </w:r>
    </w:p>
    <w:p>
      <w:pPr>
        <w:pStyle w:val="37"/>
        <w:ind w:firstLine="560"/>
      </w:pPr>
      <w:r>
        <w:rPr>
          <w:rFonts w:hint="eastAsia"/>
        </w:rPr>
        <w:t>投资净现值考虑的是资金的时间价值和整个项目的寿命周期的现金流量情况，从动态角度反映了该项目的投入和净产出的关系。设资本成本为15％。</w:t>
      </w:r>
    </w:p>
    <w:p>
      <w:pPr>
        <w:pStyle w:val="37"/>
        <w:ind w:firstLine="560"/>
      </w:pPr>
      <w:r>
        <w:rPr>
          <w:rFonts w:hint="eastAsia"/>
        </w:rPr>
        <w:t>由净现值NPV=未来现金流入现值-未来现金流出现值</w:t>
      </w:r>
    </w:p>
    <w:p>
      <w:pPr>
        <w:pStyle w:val="37"/>
        <w:ind w:firstLine="560"/>
      </w:pPr>
      <w:r>
        <w:rPr>
          <w:rFonts w:hint="eastAsia"/>
        </w:rPr>
        <w:t>以五年的现金流计算，NPV=696237.909</w:t>
      </w:r>
    </w:p>
    <w:p>
      <w:pPr>
        <w:pStyle w:val="37"/>
        <w:ind w:firstLine="560"/>
      </w:pPr>
      <w:r>
        <w:rPr>
          <w:rFonts w:hint="eastAsia"/>
        </w:rPr>
        <w:t>因为NPV</w:t>
      </w:r>
      <w:r>
        <w:rPr>
          <w:rFonts w:hint="eastAsia" w:ascii="微软雅黑" w:hAnsi="微软雅黑" w:eastAsia="微软雅黑" w:cs="微软雅黑"/>
        </w:rPr>
        <w:t>⼤</w:t>
      </w:r>
      <w:r>
        <w:rPr>
          <w:rFonts w:hint="eastAsia" w:ascii="仿宋" w:hAnsi="仿宋"/>
        </w:rPr>
        <w:t>于</w:t>
      </w:r>
      <w:r>
        <w:rPr>
          <w:rFonts w:hint="eastAsia"/>
        </w:rPr>
        <w:t>0，即投资后可望获得的投资报酬率将超过投资者要求的报酬率，因</w:t>
      </w:r>
      <w:r>
        <w:rPr>
          <w:rFonts w:hint="eastAsia" w:ascii="微软雅黑" w:hAnsi="微软雅黑" w:eastAsia="微软雅黑" w:cs="微软雅黑"/>
        </w:rPr>
        <w:t>⽽</w:t>
      </w:r>
      <w:r>
        <w:rPr>
          <w:rFonts w:hint="eastAsia" w:ascii="仿宋" w:hAnsi="仿宋"/>
        </w:rPr>
        <w:t>在财务上此</w:t>
      </w:r>
      <w:r>
        <w:rPr>
          <w:rFonts w:hint="eastAsia" w:ascii="微软雅黑" w:hAnsi="微软雅黑" w:eastAsia="微软雅黑" w:cs="微软雅黑"/>
        </w:rPr>
        <w:t>⽅</w:t>
      </w:r>
      <w:r>
        <w:rPr>
          <w:rFonts w:hint="eastAsia" w:ascii="仿宋" w:hAnsi="仿宋"/>
        </w:rPr>
        <w:t>案可行。</w:t>
      </w:r>
    </w:p>
    <w:p>
      <w:pPr>
        <w:pStyle w:val="37"/>
        <w:ind w:firstLine="560"/>
      </w:pPr>
      <w:r>
        <w:rPr>
          <w:rFonts w:hint="eastAsia"/>
        </w:rPr>
        <w:t>（4）内涵报酬率（IRR）</w:t>
      </w:r>
    </w:p>
    <w:p>
      <w:pPr>
        <w:pStyle w:val="37"/>
        <w:ind w:firstLine="560"/>
      </w:pPr>
      <w:r>
        <w:rPr>
          <w:rFonts w:hint="eastAsia"/>
        </w:rPr>
        <w:t>内涵报酬率是指投资后实际可望达到的投资报酬率。从动态的角度直接反映。</w:t>
      </w:r>
    </w:p>
    <w:p>
      <w:pPr>
        <w:pStyle w:val="37"/>
        <w:ind w:firstLine="560"/>
      </w:pPr>
      <w:r>
        <w:rPr>
          <w:rFonts w:hint="eastAsia"/>
        </w:rPr>
        <w:t>了投资项目的直接受益水平，它是指能够未来现金流入量现值等于未来现金流入。</w:t>
      </w:r>
    </w:p>
    <w:p>
      <w:pPr>
        <w:pStyle w:val="37"/>
        <w:ind w:firstLine="560"/>
        <w:rPr>
          <w:rFonts w:ascii="仿宋" w:hAnsi="仿宋"/>
        </w:rPr>
        <w:sectPr>
          <w:pgSz w:w="11906" w:h="16838"/>
          <w:pgMar w:top="1440" w:right="1800" w:bottom="1440" w:left="1800" w:header="851" w:footer="992" w:gutter="0"/>
          <w:cols w:space="425" w:num="1"/>
          <w:docGrid w:type="lines" w:linePitch="312" w:charSpace="0"/>
        </w:sectPr>
      </w:pPr>
      <w:r>
        <w:rPr>
          <w:rFonts w:hint="eastAsia"/>
        </w:rPr>
        <w:t>量现值的折现率。根据预计现金</w:t>
      </w:r>
      <w:r>
        <w:rPr>
          <w:rFonts w:hint="eastAsia" w:ascii="仿宋" w:hAnsi="仿宋"/>
        </w:rPr>
        <w:t>流，以</w:t>
      </w:r>
      <w:r>
        <w:rPr>
          <w:rFonts w:hint="eastAsia"/>
        </w:rPr>
        <w:t xml:space="preserve"> 5 年为时间跨度，计算得 IRR=47％，即公司投资的内涵报酬率为47％，大于</w:t>
      </w:r>
      <w:r>
        <w:rPr>
          <w:rFonts w:hint="eastAsia" w:ascii="仿宋" w:hAnsi="仿宋"/>
        </w:rPr>
        <w:t>资本成本率，说明在财务上可行。</w:t>
      </w:r>
    </w:p>
    <w:p>
      <w:pPr>
        <w:pStyle w:val="2"/>
        <w:rPr>
          <w:rFonts w:ascii="黑体" w:hAnsi="黑体" w:eastAsia="黑体"/>
          <w:sz w:val="32"/>
          <w:szCs w:val="32"/>
          <w:shd w:val="clear" w:color="auto" w:fill="FFFFFF"/>
        </w:rPr>
      </w:pPr>
      <w:bookmarkStart w:id="489" w:name="_Toc15831"/>
      <w:bookmarkStart w:id="490" w:name="_Toc23424"/>
      <w:bookmarkStart w:id="491" w:name="_Toc10526"/>
      <w:bookmarkStart w:id="492" w:name="_Toc6521"/>
      <w:bookmarkStart w:id="493" w:name="_Toc90339127"/>
      <w:bookmarkStart w:id="494" w:name="_Toc10226"/>
      <w:r>
        <w:rPr>
          <w:rFonts w:hint="eastAsia" w:ascii="黑体" w:hAnsi="黑体" w:eastAsia="黑体"/>
          <w:sz w:val="32"/>
          <w:szCs w:val="32"/>
          <w:shd w:val="clear" w:color="auto" w:fill="FFFFFF"/>
        </w:rPr>
        <w:t>生产运营</w:t>
      </w:r>
      <w:bookmarkEnd w:id="489"/>
      <w:bookmarkEnd w:id="490"/>
      <w:bookmarkEnd w:id="491"/>
      <w:bookmarkEnd w:id="492"/>
      <w:bookmarkEnd w:id="493"/>
      <w:bookmarkEnd w:id="494"/>
    </w:p>
    <w:p>
      <w:pPr>
        <w:pStyle w:val="3"/>
      </w:pPr>
      <w:bookmarkStart w:id="495" w:name="_Toc90339128"/>
      <w:bookmarkStart w:id="496" w:name="_Toc5873"/>
      <w:bookmarkStart w:id="497" w:name="_Toc3707"/>
      <w:bookmarkStart w:id="498" w:name="_Toc32071"/>
      <w:bookmarkStart w:id="499" w:name="_Toc24955"/>
      <w:r>
        <w:rPr>
          <w:rFonts w:hint="eastAsia"/>
          <w:shd w:val="clear" w:color="auto" w:fill="FFFFFF"/>
        </w:rPr>
        <w:t>厂址选择</w:t>
      </w:r>
      <w:bookmarkEnd w:id="495"/>
      <w:bookmarkEnd w:id="496"/>
      <w:bookmarkEnd w:id="497"/>
    </w:p>
    <w:p>
      <w:pPr>
        <w:pStyle w:val="37"/>
        <w:ind w:firstLine="560"/>
      </w:pPr>
      <w:r>
        <w:rPr>
          <w:rFonts w:hint="eastAsia"/>
        </w:rPr>
        <w:t>我们公司拟选址在浙江省杭州市钱塘区某大学创业园。</w:t>
      </w:r>
    </w:p>
    <w:p>
      <w:pPr>
        <w:pStyle w:val="37"/>
        <w:ind w:firstLine="560"/>
      </w:pPr>
      <w:r>
        <w:rPr>
          <w:rFonts w:hint="eastAsia"/>
        </w:rPr>
        <w:t>这样选址主要出于以下四点原因：</w:t>
      </w:r>
    </w:p>
    <w:p>
      <w:pPr>
        <w:pStyle w:val="37"/>
        <w:ind w:firstLine="560"/>
      </w:pPr>
      <w:r>
        <w:rPr>
          <w:rFonts w:hint="eastAsia"/>
        </w:rPr>
        <w:t>（1）交通便利优势：杭州市下沙经济技术开发区紧靠杭州绕城高速公路和沪昆高速公路，通过绕城高速公路，我们的产品可以分布至全市各处。通过沪昆高速，产品也能运输至上海等发达地区。 </w:t>
      </w:r>
    </w:p>
    <w:p>
      <w:pPr>
        <w:pStyle w:val="37"/>
        <w:ind w:firstLine="560"/>
      </w:pPr>
      <w:r>
        <w:rPr>
          <w:rFonts w:hint="eastAsia"/>
        </w:rPr>
        <w:t>（2）原料供应优势：下沙经济技术区拥有良好的科技创新平台和企业集群优势，能极大程度地降低公司的原材料供应成本。</w:t>
      </w:r>
    </w:p>
    <w:p>
      <w:pPr>
        <w:pStyle w:val="37"/>
        <w:ind w:firstLine="560"/>
      </w:pPr>
      <w:r>
        <w:rPr>
          <w:rFonts w:hint="eastAsia"/>
        </w:rPr>
        <w:t>（3）公司环境优势：该大学创业园面积约2000平方米，拥有众多高新技术创业团队与公司，科创氛围良好，可以依托学校接触前沿的科技成果及获得学校优秀的技术专利、优势专业、师资力量等资源。创业园内不仅有相应的配套设施还可以为公司前期发展节约房租费用，为我们大学生创业提供便利的条件。</w:t>
      </w:r>
    </w:p>
    <w:p>
      <w:pPr>
        <w:pStyle w:val="37"/>
        <w:ind w:firstLine="560"/>
      </w:pPr>
      <w:r>
        <w:rPr>
          <w:rFonts w:hint="eastAsia"/>
        </w:rPr>
        <w:t>（4）学校扶持优势：学校历来对创业项目就较大的扶持力度，我们项目的研发地点以及产品组装地点均在学校教学楼内，学校为了方便我们项目的实施，为我们的研发团队提供了仪器设备的支持，以及场地的提供。</w:t>
      </w:r>
    </w:p>
    <w:p>
      <w:pPr>
        <w:pStyle w:val="3"/>
      </w:pPr>
      <w:bookmarkStart w:id="500" w:name="_Toc2312"/>
      <w:bookmarkStart w:id="501" w:name="_Toc90339129"/>
      <w:bookmarkStart w:id="502" w:name="_Toc14903"/>
      <w:r>
        <w:rPr>
          <w:rFonts w:hint="eastAsia"/>
          <w:shd w:val="clear" w:color="auto" w:fill="FFFFFF"/>
        </w:rPr>
        <w:t>外包管理</w:t>
      </w:r>
      <w:bookmarkEnd w:id="500"/>
      <w:bookmarkEnd w:id="501"/>
      <w:bookmarkEnd w:id="502"/>
    </w:p>
    <w:p>
      <w:pPr>
        <w:pStyle w:val="37"/>
        <w:ind w:firstLine="560"/>
      </w:pPr>
      <w:r>
        <w:rPr>
          <w:rFonts w:hint="eastAsia"/>
        </w:rPr>
        <w:t>随着行业或领域的不断细分、专业化的增强、产品的丰富以及不断增长的开发成本等都促使企业去寻找更为节约及有效的方法，外包生产就是正确认识这种战略变化的结果病逐渐成为趋势和时尚。特别是对于一个中小高科技企业来说，外包的生产模式是一个很好的选择。本公司的产品主要针对农业市场的蚕桑领域，推出了一套致力于辅助个体桑蚕养殖户的智能桑蚕养殖系统，该系统以Jetson Nano为嵌入式以及目标检测开发平台，能够采集蚕的复杂生长环境和发育状态和病虫害的干扰进行监控和预测，为个体蚕桑农户科学养蚕以及提高产量服务。</w:t>
      </w:r>
    </w:p>
    <w:p>
      <w:pPr>
        <w:pStyle w:val="37"/>
        <w:ind w:firstLine="560"/>
      </w:pPr>
      <w:r>
        <w:rPr>
          <w:rFonts w:hint="eastAsia"/>
        </w:rPr>
        <w:t>（1）.评价选择外包方。确保外包过程的结果满足规定的要求，选择合格的外包方。可参照评价选择采购产品的供方的准则，评价外包方有无完成外包过程的能力(包括：质量保证能力、过程的能力、设备的能力、人员的能力等)，选择合格的外包方。必要时我们公司将派专门人员进行实地考察，以确保外包方的生产能力。</w:t>
      </w:r>
    </w:p>
    <w:p>
      <w:pPr>
        <w:pStyle w:val="37"/>
        <w:ind w:firstLine="560"/>
      </w:pPr>
      <w:r>
        <w:rPr>
          <w:rFonts w:hint="eastAsia"/>
        </w:rPr>
        <w:t>（2）.与外包方签订合同或协议。为了明确外包过程双方的职责，我公司将与外包方签订外包合同或协议，在合同或协议中，明确对外包方的要求与责任。如：外包过程的结果所要达到的要求，包括对外包方的质量管理体系要求、过程、程序、设备和人员的要求，有关法律法规的要求等。并且与外包方进行沟通，明确两方的职责及有关问题的协调、处理的要求。</w:t>
      </w:r>
    </w:p>
    <w:p>
      <w:pPr>
        <w:pStyle w:val="37"/>
        <w:ind w:firstLine="560"/>
      </w:pPr>
      <w:r>
        <w:rPr>
          <w:rFonts w:hint="eastAsia"/>
        </w:rPr>
        <w:t>（3）.验证外包过程的结果。按合同或协议的规定，验证外包过程的结果即定制部件的质量是否满足规定的要求。验证在我方处进行。验证的要求及方法都将在合同或协议中做出说明，并且保持外包过程验证记录。</w:t>
      </w:r>
    </w:p>
    <w:p>
      <w:pPr>
        <w:pStyle w:val="37"/>
        <w:ind w:firstLine="560"/>
      </w:pPr>
      <w:r>
        <w:rPr>
          <w:rFonts w:hint="eastAsia"/>
        </w:rPr>
        <w:t>（4）.对重要的外包过程，到现场进行监控。对于某些重要元件的外包过程，我公司将派人员到外包方进行现场监控，以确保外包过程按照要求实施。</w:t>
      </w:r>
    </w:p>
    <w:p>
      <w:pPr>
        <w:pStyle w:val="3"/>
      </w:pPr>
      <w:bookmarkStart w:id="503" w:name="_Toc90339130"/>
      <w:bookmarkStart w:id="504" w:name="_Toc30691"/>
      <w:bookmarkStart w:id="505" w:name="_Toc2185"/>
      <w:r>
        <w:rPr>
          <w:rFonts w:hint="eastAsia"/>
          <w:shd w:val="clear" w:color="auto" w:fill="FFFFFF"/>
        </w:rPr>
        <w:t>主要设计生产线布置</w:t>
      </w:r>
      <w:bookmarkEnd w:id="503"/>
      <w:r>
        <w:rPr>
          <w:rFonts w:hint="eastAsia"/>
          <w:shd w:val="clear" w:color="auto" w:fill="FFFFFF"/>
        </w:rPr>
        <w:t> </w:t>
      </w:r>
      <w:bookmarkEnd w:id="504"/>
      <w:bookmarkEnd w:id="505"/>
    </w:p>
    <w:p>
      <w:pPr>
        <w:pStyle w:val="37"/>
        <w:ind w:firstLine="480"/>
      </w:pPr>
      <w:r>
        <w:rPr>
          <w:rFonts w:hint="eastAsia"/>
          <w:color w:val="auto"/>
          <w:sz w:val="24"/>
        </w:rPr>
        <w:t>如</w:t>
      </w:r>
      <w:r>
        <w:fldChar w:fldCharType="begin"/>
      </w:r>
      <w:r>
        <w:instrText xml:space="preserve"> </w:instrText>
      </w:r>
      <w:r>
        <w:rPr>
          <w:rFonts w:hint="eastAsia"/>
        </w:rPr>
        <w:instrText xml:space="preserve">REF _Ref90338278 \h</w:instrText>
      </w:r>
      <w:r>
        <w:instrText xml:space="preserve">  \* MERGEFORMAT </w:instrText>
      </w:r>
      <w:r>
        <w:fldChar w:fldCharType="separate"/>
      </w:r>
      <w:r>
        <w:rPr>
          <w:rFonts w:hint="eastAsia"/>
        </w:rPr>
        <w:t xml:space="preserve">图表 </w:t>
      </w:r>
      <w:r>
        <w:t>20</w:t>
      </w:r>
      <w:r>
        <w:rPr>
          <w:rFonts w:hint="eastAsia"/>
          <w:color w:val="auto"/>
          <w:sz w:val="24"/>
        </w:rPr>
        <w:t>主要设计生产线布置</w:t>
      </w:r>
      <w:r>
        <w:fldChar w:fldCharType="end"/>
      </w:r>
      <w:r>
        <w:rPr>
          <w:rFonts w:hint="eastAsia"/>
          <w:color w:val="auto"/>
          <w:sz w:val="24"/>
        </w:rPr>
        <w:t>所示</w:t>
      </w:r>
    </w:p>
    <w:p>
      <w:pPr>
        <w:widowControl/>
        <w:ind w:firstLine="336"/>
        <w:jc w:val="center"/>
        <w:textAlignment w:val="baseline"/>
        <w:rPr>
          <w:rFonts w:ascii="仿宋" w:hAnsi="仿宋" w:eastAsia="仿宋" w:cs="仿宋"/>
        </w:rPr>
      </w:pPr>
      <w:r>
        <w:rPr>
          <w:rFonts w:ascii="宋体" w:hAnsi="宋体" w:eastAsia="宋体" w:cs="宋体"/>
          <w:sz w:val="24"/>
          <w:szCs w:val="24"/>
        </w:rPr>
        <w:drawing>
          <wp:inline distT="0" distB="0" distL="114300" distR="114300">
            <wp:extent cx="3088005" cy="3861435"/>
            <wp:effectExtent l="0" t="0" r="5715" b="952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33"/>
                    <a:stretch>
                      <a:fillRect/>
                    </a:stretch>
                  </pic:blipFill>
                  <pic:spPr>
                    <a:xfrm>
                      <a:off x="0" y="0"/>
                      <a:ext cx="3088005" cy="3861435"/>
                    </a:xfrm>
                    <a:prstGeom prst="rect">
                      <a:avLst/>
                    </a:prstGeom>
                    <a:noFill/>
                    <a:ln w="9525">
                      <a:noFill/>
                    </a:ln>
                  </pic:spPr>
                </pic:pic>
              </a:graphicData>
            </a:graphic>
          </wp:inline>
        </w:drawing>
      </w:r>
    </w:p>
    <w:p>
      <w:pPr>
        <w:jc w:val="center"/>
        <w:rPr>
          <w:rFonts w:ascii="仿宋" w:hAnsi="仿宋" w:eastAsia="仿宋" w:cs="仿宋"/>
        </w:rPr>
      </w:pPr>
      <w:bookmarkStart w:id="506" w:name="_Ref90338278"/>
      <w:bookmarkStart w:id="507" w:name="_Toc90339164"/>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20</w:t>
      </w:r>
      <w:r>
        <w:fldChar w:fldCharType="end"/>
      </w:r>
      <w:r>
        <w:rPr>
          <w:rFonts w:hint="eastAsia" w:ascii="宋体" w:hAnsi="宋体" w:cs="仿宋"/>
          <w:sz w:val="21"/>
          <w:szCs w:val="21"/>
          <w:shd w:val="clear" w:color="auto" w:fill="FFFFFF"/>
        </w:rPr>
        <w:t>主要设计生产线布置</w:t>
      </w:r>
      <w:bookmarkEnd w:id="506"/>
      <w:bookmarkEnd w:id="507"/>
    </w:p>
    <w:p>
      <w:pPr>
        <w:widowControl/>
        <w:ind w:firstLine="336"/>
        <w:textAlignment w:val="baseline"/>
        <w:rPr>
          <w:rFonts w:ascii="仿宋" w:hAnsi="仿宋" w:eastAsia="仿宋" w:cs="仿宋"/>
          <w:shd w:val="clear" w:color="auto" w:fill="FFFFFF"/>
        </w:rPr>
      </w:pPr>
    </w:p>
    <w:p>
      <w:pPr>
        <w:pStyle w:val="3"/>
      </w:pPr>
      <w:bookmarkStart w:id="508" w:name="_Toc13439"/>
      <w:bookmarkStart w:id="509" w:name="_Toc90339131"/>
      <w:bookmarkStart w:id="510" w:name="_Toc2647"/>
      <w:r>
        <w:rPr>
          <w:rFonts w:hint="eastAsia"/>
          <w:shd w:val="clear" w:color="auto" w:fill="FFFFFF"/>
        </w:rPr>
        <w:t>质量管理</w:t>
      </w:r>
      <w:bookmarkEnd w:id="508"/>
      <w:bookmarkEnd w:id="509"/>
      <w:bookmarkEnd w:id="510"/>
    </w:p>
    <w:p>
      <w:pPr>
        <w:pStyle w:val="37"/>
        <w:ind w:firstLine="560"/>
        <w:sectPr>
          <w:pgSz w:w="11906" w:h="16838"/>
          <w:pgMar w:top="1440" w:right="1800" w:bottom="1440" w:left="1800" w:header="851" w:footer="992" w:gutter="0"/>
          <w:cols w:space="425" w:num="1"/>
          <w:docGrid w:type="lines" w:linePitch="312" w:charSpace="0"/>
        </w:sectPr>
      </w:pPr>
      <w:r>
        <w:rPr>
          <w:rFonts w:hint="eastAsia"/>
        </w:rPr>
        <w:t>建立并完善在ISO9001：2000系列标准下的企业质量管理体系，对企业和产品同时进行规范控制。在行政管理上，制定管理标准、工作标准、规章制度、规程等规范日常工作；在设计生产管理上，制定设计规范，进行生产过程控制、产品验证、测量和实验设备的控制、不合格控制、纠正措施、质量文件和记录，保障人员、产品安全、明确产品责任、质量管理方法的生产应用。</w:t>
      </w:r>
    </w:p>
    <w:p>
      <w:pPr>
        <w:pStyle w:val="2"/>
        <w:rPr>
          <w:rFonts w:ascii="黑体" w:hAnsi="黑体" w:eastAsia="黑体"/>
          <w:sz w:val="32"/>
          <w:szCs w:val="32"/>
        </w:rPr>
      </w:pPr>
      <w:bookmarkStart w:id="511" w:name="_Toc90339132"/>
      <w:bookmarkStart w:id="512" w:name="_Toc13591"/>
      <w:bookmarkStart w:id="513" w:name="_Toc16140"/>
      <w:bookmarkStart w:id="514" w:name="_Toc22521"/>
      <w:r>
        <w:rPr>
          <w:rFonts w:hint="eastAsia" w:ascii="黑体" w:hAnsi="黑体" w:eastAsia="黑体"/>
          <w:sz w:val="32"/>
          <w:szCs w:val="32"/>
          <w:shd w:val="clear" w:color="auto" w:fill="FFFFFF"/>
        </w:rPr>
        <w:t>风险应对</w:t>
      </w:r>
      <w:bookmarkEnd w:id="498"/>
      <w:bookmarkEnd w:id="499"/>
      <w:bookmarkEnd w:id="511"/>
      <w:bookmarkEnd w:id="512"/>
      <w:bookmarkEnd w:id="513"/>
      <w:bookmarkEnd w:id="514"/>
    </w:p>
    <w:p>
      <w:pPr>
        <w:pStyle w:val="37"/>
        <w:ind w:firstLine="560"/>
        <w:rPr>
          <w:rFonts w:hint="eastAsia"/>
        </w:rPr>
      </w:pPr>
      <w:r>
        <w:rPr>
          <w:rFonts w:hint="eastAsia"/>
        </w:rPr>
        <w:t>本项目主要以互联网+农业为核心，本团队要针对自身发展战略进行正确的风险分析，采取正确的应对策略来规避风险，把握发展机会，这对项目的发展起着至关重要的作用。以下将从技术、管理、市场、财务四个方面进行风险评估，提出防范对策，为项目的稳定发展提供更加有利的保障。</w:t>
      </w:r>
    </w:p>
    <w:p>
      <w:pPr>
        <w:pStyle w:val="3"/>
      </w:pPr>
      <w:bookmarkStart w:id="515" w:name="_Toc90339133"/>
      <w:bookmarkStart w:id="516" w:name="_Toc12605"/>
      <w:bookmarkStart w:id="517" w:name="_Toc23096"/>
      <w:r>
        <w:rPr>
          <w:rFonts w:hint="eastAsia"/>
          <w:shd w:val="clear" w:color="auto" w:fill="FFFFFF"/>
        </w:rPr>
        <w:t>技术风险及策略</w:t>
      </w:r>
      <w:bookmarkEnd w:id="515"/>
      <w:bookmarkEnd w:id="516"/>
      <w:bookmarkEnd w:id="517"/>
    </w:p>
    <w:p>
      <w:pPr>
        <w:pStyle w:val="4"/>
      </w:pPr>
      <w:bookmarkStart w:id="518" w:name="_Toc90339134"/>
      <w:bookmarkStart w:id="519" w:name="_Toc11689"/>
      <w:bookmarkStart w:id="520" w:name="_Toc22407"/>
      <w:r>
        <w:rPr>
          <w:rFonts w:hint="eastAsia"/>
          <w:shd w:val="clear" w:color="auto" w:fill="FFFFFF"/>
        </w:rPr>
        <w:t>技术风险</w:t>
      </w:r>
      <w:bookmarkEnd w:id="518"/>
      <w:r>
        <w:rPr>
          <w:rFonts w:hint="eastAsia"/>
          <w:shd w:val="clear" w:color="auto" w:fill="FFFFFF"/>
        </w:rPr>
        <w:t> </w:t>
      </w:r>
      <w:bookmarkEnd w:id="519"/>
      <w:bookmarkEnd w:id="520"/>
    </w:p>
    <w:p>
      <w:pPr>
        <w:pStyle w:val="37"/>
        <w:ind w:firstLine="560"/>
      </w:pPr>
      <w:r>
        <w:rPr>
          <w:rFonts w:hint="eastAsia"/>
        </w:rPr>
        <w:t>技术风险的种类繁多，大致可分为技术不足风险、技术开发风险、技术保护风险、技术使用风险、技术取得和转让风险。本项目技术风险的渠道来源主要在于同类产品的技术模仿和自我技术创新的停滞不前。针对以上两处风险，产品在研究初期会主动申请专利保护，解决同类技术抄袭，同时加大产品的研发投入，以创新驱动产品，筑起技术壁垒。</w:t>
      </w:r>
    </w:p>
    <w:p>
      <w:pPr>
        <w:pStyle w:val="4"/>
      </w:pPr>
      <w:bookmarkStart w:id="521" w:name="_Toc90339135"/>
      <w:bookmarkStart w:id="522" w:name="_Toc13617"/>
      <w:bookmarkStart w:id="523" w:name="_Toc29592"/>
      <w:r>
        <w:rPr>
          <w:rFonts w:hint="eastAsia"/>
          <w:shd w:val="clear" w:color="auto" w:fill="FFFFFF"/>
        </w:rPr>
        <w:t>防范策略</w:t>
      </w:r>
      <w:bookmarkEnd w:id="521"/>
      <w:bookmarkEnd w:id="522"/>
      <w:bookmarkEnd w:id="523"/>
    </w:p>
    <w:p>
      <w:pPr>
        <w:pStyle w:val="37"/>
        <w:ind w:firstLine="560"/>
      </w:pPr>
      <w:r>
        <w:rPr>
          <w:rFonts w:hint="eastAsia"/>
        </w:rPr>
        <w:t>1.产品在研究初期，要积极主动申请计算机软件著作权，向国家申请专利保护，并不断加大对产品的研发投入，进行不断的创新和迭代。</w:t>
      </w:r>
    </w:p>
    <w:p>
      <w:pPr>
        <w:pStyle w:val="37"/>
        <w:ind w:firstLine="560"/>
      </w:pPr>
      <w:r>
        <w:rPr>
          <w:rFonts w:hint="eastAsia"/>
        </w:rPr>
        <w:t>2.将系统尽快投入市场，在试用的过程中对产品进行完善，保证系统的高准确率和高适用性。</w:t>
      </w:r>
    </w:p>
    <w:p>
      <w:pPr>
        <w:pStyle w:val="37"/>
        <w:ind w:firstLine="560"/>
      </w:pPr>
      <w:r>
        <w:rPr>
          <w:rFonts w:hint="eastAsia"/>
        </w:rPr>
        <w:t>3.提高服务的质量，让客户拥有良好的体验，让养殖户和企业使用本项目获得更高收益，并加深对本项目信任。</w:t>
      </w:r>
    </w:p>
    <w:p>
      <w:pPr>
        <w:pStyle w:val="37"/>
        <w:ind w:firstLine="560"/>
      </w:pPr>
      <w:r>
        <w:rPr>
          <w:rFonts w:hint="eastAsia"/>
        </w:rPr>
        <w:t>4.争取建立更多的合作关系，不断的开拓进取，在不忘发展已有项目的同时，争取进军其他领域。</w:t>
      </w:r>
    </w:p>
    <w:p>
      <w:pPr>
        <w:pStyle w:val="3"/>
        <w:numPr>
          <w:ilvl w:val="1"/>
          <w:numId w:val="0"/>
        </w:numPr>
        <w:ind w:leftChars="0"/>
      </w:pPr>
      <w:bookmarkStart w:id="524" w:name="_Toc2146"/>
      <w:bookmarkStart w:id="525" w:name="_Toc5028"/>
      <w:bookmarkStart w:id="526" w:name="_Toc90339136"/>
      <w:r>
        <w:rPr>
          <w:rFonts w:hint="eastAsia"/>
          <w:shd w:val="clear" w:color="auto" w:fill="FFFFFF"/>
          <w:lang w:val="en-US" w:eastAsia="zh-CN"/>
        </w:rPr>
        <w:t>9.2</w:t>
      </w:r>
      <w:r>
        <w:rPr>
          <w:rFonts w:hint="eastAsia"/>
          <w:shd w:val="clear" w:color="auto" w:fill="FFFFFF"/>
        </w:rPr>
        <w:t>管理风险及策略</w:t>
      </w:r>
      <w:bookmarkEnd w:id="524"/>
      <w:bookmarkEnd w:id="525"/>
      <w:bookmarkEnd w:id="526"/>
    </w:p>
    <w:p>
      <w:pPr>
        <w:pStyle w:val="4"/>
        <w:numPr>
          <w:ilvl w:val="2"/>
          <w:numId w:val="0"/>
        </w:numPr>
        <w:ind w:leftChars="0"/>
      </w:pPr>
      <w:bookmarkStart w:id="527" w:name="_Toc90339137"/>
      <w:bookmarkStart w:id="528" w:name="_Toc13221"/>
      <w:bookmarkStart w:id="529" w:name="_Toc17273"/>
      <w:r>
        <w:rPr>
          <w:rFonts w:hint="eastAsia"/>
          <w:shd w:val="clear" w:color="auto" w:fill="FFFFFF"/>
          <w:lang w:val="en-US" w:eastAsia="zh-CN"/>
        </w:rPr>
        <w:t>9.2.1</w:t>
      </w:r>
      <w:r>
        <w:rPr>
          <w:rFonts w:hint="eastAsia"/>
          <w:shd w:val="clear" w:color="auto" w:fill="FFFFFF"/>
        </w:rPr>
        <w:t>管理风险</w:t>
      </w:r>
      <w:bookmarkEnd w:id="527"/>
      <w:bookmarkEnd w:id="528"/>
      <w:bookmarkEnd w:id="529"/>
    </w:p>
    <w:p>
      <w:pPr>
        <w:pStyle w:val="37"/>
        <w:ind w:firstLine="560"/>
      </w:pPr>
      <w:r>
        <w:rPr>
          <w:rFonts w:hint="eastAsia"/>
        </w:rPr>
        <w:t>在管理者的素质、组织结构、企业文化、管理过程等方面上，任一方面出现问题都可能会给企业造成无法挽回的损失。作为一支由大学生组成的团队，缺乏足够的管理经验，可能会在管理方面存在一定的缺陷。同时，本项目以技术为核心，技术人员的流失将会降低企业的竞争力。</w:t>
      </w:r>
    </w:p>
    <w:p>
      <w:pPr>
        <w:pStyle w:val="4"/>
        <w:numPr>
          <w:ilvl w:val="2"/>
          <w:numId w:val="0"/>
        </w:numPr>
        <w:ind w:leftChars="0"/>
      </w:pPr>
      <w:bookmarkStart w:id="530" w:name="_Toc90339138"/>
      <w:bookmarkStart w:id="531" w:name="_Toc4649"/>
      <w:bookmarkStart w:id="532" w:name="_Toc18596"/>
      <w:r>
        <w:rPr>
          <w:rFonts w:hint="eastAsia"/>
          <w:shd w:val="clear" w:color="auto" w:fill="FFFFFF"/>
          <w:lang w:val="en-US" w:eastAsia="zh-CN"/>
        </w:rPr>
        <w:t>9.2.2</w:t>
      </w:r>
      <w:r>
        <w:rPr>
          <w:rFonts w:hint="eastAsia"/>
          <w:shd w:val="clear" w:color="auto" w:fill="FFFFFF"/>
        </w:rPr>
        <w:t>防范策略</w:t>
      </w:r>
      <w:bookmarkEnd w:id="530"/>
      <w:bookmarkEnd w:id="531"/>
      <w:bookmarkEnd w:id="532"/>
    </w:p>
    <w:p>
      <w:pPr>
        <w:pStyle w:val="37"/>
        <w:ind w:firstLine="560"/>
      </w:pPr>
      <w:r>
        <w:rPr>
          <w:rFonts w:hint="eastAsia"/>
        </w:rPr>
        <w:t>1、加大研发力度，推进产品更新贴合用户需求，提高技术人员的薪酬待遇，鼓励技术人员创新研发，以“技工贸”为主要发展。</w:t>
      </w:r>
    </w:p>
    <w:p>
      <w:pPr>
        <w:pStyle w:val="37"/>
        <w:ind w:firstLine="560"/>
      </w:pPr>
      <w:r>
        <w:rPr>
          <w:rFonts w:hint="eastAsia"/>
        </w:rPr>
        <w:t>2、建立公司完整的规章制度以及企业特色文化，完善人力资源的管理策略，采取内部培训、外部培训等多种措施提高管理团队的素质。</w:t>
      </w:r>
    </w:p>
    <w:p>
      <w:pPr>
        <w:pStyle w:val="37"/>
        <w:ind w:firstLine="560"/>
        <w:rPr>
          <w:rFonts w:hint="eastAsia"/>
        </w:rPr>
      </w:pPr>
      <w:r>
        <w:rPr>
          <w:rFonts w:hint="eastAsia"/>
        </w:rPr>
        <w:t>3、向有成果的高新技术公司学习管理经验，完善组织结构，建立有效的激励机制。</w:t>
      </w:r>
    </w:p>
    <w:p>
      <w:pPr>
        <w:pStyle w:val="3"/>
        <w:numPr>
          <w:ilvl w:val="1"/>
          <w:numId w:val="0"/>
        </w:numPr>
        <w:ind w:leftChars="0"/>
      </w:pPr>
      <w:bookmarkStart w:id="533" w:name="_Toc22655"/>
      <w:bookmarkStart w:id="534" w:name="_Toc90339139"/>
      <w:bookmarkStart w:id="535" w:name="_Toc15927"/>
      <w:r>
        <w:rPr>
          <w:rFonts w:hint="eastAsia"/>
          <w:shd w:val="clear" w:color="auto" w:fill="FFFFFF"/>
          <w:lang w:val="en-US" w:eastAsia="zh-CN"/>
        </w:rPr>
        <w:t>9.3</w:t>
      </w:r>
      <w:r>
        <w:rPr>
          <w:rFonts w:hint="eastAsia"/>
          <w:shd w:val="clear" w:color="auto" w:fill="FFFFFF"/>
        </w:rPr>
        <w:t>市场风险及策略</w:t>
      </w:r>
      <w:bookmarkEnd w:id="533"/>
      <w:bookmarkEnd w:id="534"/>
      <w:bookmarkEnd w:id="535"/>
    </w:p>
    <w:p>
      <w:pPr>
        <w:pStyle w:val="4"/>
        <w:numPr>
          <w:ilvl w:val="2"/>
          <w:numId w:val="0"/>
        </w:numPr>
        <w:ind w:leftChars="0"/>
      </w:pPr>
      <w:bookmarkStart w:id="536" w:name="_Toc90339140"/>
      <w:bookmarkStart w:id="537" w:name="_Toc6571"/>
      <w:bookmarkStart w:id="538" w:name="_Toc17094"/>
      <w:r>
        <w:rPr>
          <w:rFonts w:hint="eastAsia"/>
          <w:shd w:val="clear" w:color="auto" w:fill="FFFFFF"/>
          <w:lang w:val="en-US" w:eastAsia="zh-CN"/>
        </w:rPr>
        <w:t>9.3.1</w:t>
      </w:r>
      <w:r>
        <w:rPr>
          <w:rFonts w:hint="eastAsia"/>
          <w:shd w:val="clear" w:color="auto" w:fill="FFFFFF"/>
        </w:rPr>
        <w:t>市场风险</w:t>
      </w:r>
      <w:bookmarkEnd w:id="536"/>
      <w:bookmarkEnd w:id="537"/>
      <w:bookmarkEnd w:id="538"/>
    </w:p>
    <w:p>
      <w:pPr>
        <w:pStyle w:val="37"/>
        <w:ind w:firstLine="560"/>
      </w:pPr>
      <w:r>
        <w:rPr>
          <w:rFonts w:hint="eastAsia"/>
        </w:rPr>
        <w:t>市场风险，是指由于市场及相关的外部环境的不确定性而导致企业市场萎缩、达不到预期的市场效果乃至影响企业生存与发展的一种可能性。市场上，如果在销售过程中市场分析预测的不准确，则有可能无法制定合适的价格，阻碍本产品的市场化进程甚至失去部分市场。其次，存在竞争者的同类产品会争夺市场，数字化农业的市场广阔，存在一定的潜在进入者，本产品时刻面临着被取代的挑战。同时同类产品难保会盗版或是模仿本项目产品，采取低价或者其他不良手段恶意竞争，扰乱市场秩序。外部环境上，养殖个体户对于本项目技术可能并不了解，甚至产生怀疑，由于消费习惯的影响消费者对于新产品的了解与接受都需要一定的时间，所以短期内会存在一定的风险。</w:t>
      </w:r>
    </w:p>
    <w:p>
      <w:pPr>
        <w:pStyle w:val="4"/>
        <w:numPr>
          <w:ilvl w:val="2"/>
          <w:numId w:val="0"/>
        </w:numPr>
        <w:ind w:leftChars="0"/>
      </w:pPr>
      <w:bookmarkStart w:id="539" w:name="_Toc3737"/>
      <w:bookmarkStart w:id="540" w:name="_Toc1314"/>
      <w:bookmarkStart w:id="541" w:name="_Toc90339141"/>
      <w:r>
        <w:rPr>
          <w:rFonts w:hint="eastAsia"/>
          <w:shd w:val="clear" w:color="auto" w:fill="FFFFFF"/>
          <w:lang w:val="en-US" w:eastAsia="zh-CN"/>
        </w:rPr>
        <w:t>9.3.2</w:t>
      </w:r>
      <w:r>
        <w:rPr>
          <w:rFonts w:hint="eastAsia"/>
          <w:shd w:val="clear" w:color="auto" w:fill="FFFFFF"/>
        </w:rPr>
        <w:t>防范策略</w:t>
      </w:r>
      <w:bookmarkEnd w:id="539"/>
      <w:bookmarkEnd w:id="540"/>
      <w:bookmarkEnd w:id="541"/>
    </w:p>
    <w:p>
      <w:pPr>
        <w:pStyle w:val="37"/>
        <w:ind w:firstLine="560"/>
      </w:pPr>
      <w:r>
        <w:rPr>
          <w:rFonts w:hint="eastAsia"/>
        </w:rPr>
        <w:t>（1）完善销售队伍与销售网络，建立一套完整的市场信息网络体系，整合在其中所获得信息，顺应规律地调整产品合理的销售价格，扩大盈利。</w:t>
      </w:r>
    </w:p>
    <w:p>
      <w:pPr>
        <w:pStyle w:val="37"/>
        <w:ind w:firstLine="560"/>
      </w:pPr>
      <w:r>
        <w:rPr>
          <w:rFonts w:hint="eastAsia"/>
        </w:rPr>
        <w:t>（2）建立有效的信息反馈渠道，随时了解竞争产品动态。快速占领已有市场，必要时通过寻找龙头企业合作，向下铺开销售，快速建立渠道壁垒，树立品牌形象。</w:t>
      </w:r>
    </w:p>
    <w:p>
      <w:pPr>
        <w:pStyle w:val="37"/>
        <w:ind w:firstLine="560"/>
      </w:pPr>
      <w:r>
        <w:rPr>
          <w:rFonts w:hint="eastAsia"/>
        </w:rPr>
        <w:t>（3）加强在知识产权保护方面的投入，运用法律武器打击盗版与仿制，开发更先进的防盗版技术，对盗版技术进行全面的封锁和扼杀。</w:t>
      </w:r>
    </w:p>
    <w:p>
      <w:pPr>
        <w:pStyle w:val="37"/>
        <w:ind w:firstLine="560"/>
      </w:pPr>
      <w:r>
        <w:rPr>
          <w:rFonts w:hint="eastAsia"/>
        </w:rPr>
        <w:t>（4）加大线上线下宣传的投入，可利用科技展销会、技术交流会等形式，逐步扩大在行业中的知名度，拓宽群众基础和影响。</w:t>
      </w:r>
    </w:p>
    <w:p>
      <w:pPr>
        <w:pStyle w:val="3"/>
        <w:numPr>
          <w:ilvl w:val="1"/>
          <w:numId w:val="0"/>
        </w:numPr>
        <w:ind w:leftChars="0"/>
      </w:pPr>
      <w:bookmarkStart w:id="542" w:name="_Toc13111"/>
      <w:bookmarkStart w:id="543" w:name="_Toc17052"/>
      <w:bookmarkStart w:id="544" w:name="_Toc90339142"/>
      <w:r>
        <w:rPr>
          <w:rFonts w:hint="eastAsia"/>
          <w:shd w:val="clear" w:color="auto" w:fill="FFFFFF"/>
          <w:lang w:val="en-US" w:eastAsia="zh-CN"/>
        </w:rPr>
        <w:t>9.4</w:t>
      </w:r>
      <w:r>
        <w:rPr>
          <w:rFonts w:hint="eastAsia"/>
          <w:shd w:val="clear" w:color="auto" w:fill="FFFFFF"/>
        </w:rPr>
        <w:t>财务风险及策略</w:t>
      </w:r>
      <w:bookmarkEnd w:id="542"/>
      <w:bookmarkEnd w:id="543"/>
      <w:bookmarkEnd w:id="544"/>
    </w:p>
    <w:p>
      <w:pPr>
        <w:pStyle w:val="4"/>
        <w:numPr>
          <w:ilvl w:val="2"/>
          <w:numId w:val="0"/>
        </w:numPr>
        <w:ind w:leftChars="0"/>
      </w:pPr>
      <w:bookmarkStart w:id="545" w:name="_Toc22969"/>
      <w:bookmarkStart w:id="546" w:name="_Toc31186"/>
      <w:bookmarkStart w:id="547" w:name="_Toc90339143"/>
      <w:r>
        <w:rPr>
          <w:rFonts w:hint="eastAsia"/>
          <w:shd w:val="clear" w:color="auto" w:fill="FFFFFF"/>
          <w:lang w:val="en-US" w:eastAsia="zh-CN"/>
        </w:rPr>
        <w:t>9.4.1</w:t>
      </w:r>
      <w:r>
        <w:rPr>
          <w:rFonts w:hint="eastAsia"/>
          <w:shd w:val="clear" w:color="auto" w:fill="FFFFFF"/>
        </w:rPr>
        <w:t>财务风险</w:t>
      </w:r>
      <w:bookmarkEnd w:id="545"/>
      <w:bookmarkEnd w:id="546"/>
      <w:bookmarkEnd w:id="547"/>
    </w:p>
    <w:p>
      <w:pPr>
        <w:pStyle w:val="37"/>
        <w:ind w:firstLine="560"/>
      </w:pPr>
      <w:r>
        <w:rPr>
          <w:rFonts w:hint="eastAsia"/>
        </w:rPr>
        <w:t>财务风险是指企业在各项财务活动中由于各种难以预料和无法控制的因素，使企业在一定时期、一定范围内所获取的最终财务成果与预期的经营目标发生偏差，从而形成的使企业蒙受经济损失或更大收益的可能性。融资时初创项目融资困难的根源，包括筹资活动时资金来源不足与偿债资金来源不确定的风险。同时市场的波动，研发与管理的不力，宏观经济政策调整以及信息不对称等也都会带来融资风险。</w:t>
      </w:r>
    </w:p>
    <w:p>
      <w:pPr>
        <w:pStyle w:val="4"/>
        <w:numPr>
          <w:ilvl w:val="2"/>
          <w:numId w:val="0"/>
        </w:numPr>
        <w:ind w:leftChars="0"/>
      </w:pPr>
      <w:bookmarkStart w:id="548" w:name="_Toc19809"/>
      <w:bookmarkStart w:id="549" w:name="_Toc90339144"/>
      <w:bookmarkStart w:id="550" w:name="_Toc3428"/>
      <w:r>
        <w:rPr>
          <w:rFonts w:hint="eastAsia"/>
          <w:shd w:val="clear" w:color="auto" w:fill="FFFFFF"/>
          <w:lang w:val="en-US" w:eastAsia="zh-CN"/>
        </w:rPr>
        <w:t>9.4.2</w:t>
      </w:r>
      <w:r>
        <w:rPr>
          <w:rFonts w:hint="eastAsia"/>
          <w:shd w:val="clear" w:color="auto" w:fill="FFFFFF"/>
        </w:rPr>
        <w:t>防范策略</w:t>
      </w:r>
      <w:bookmarkEnd w:id="548"/>
      <w:bookmarkEnd w:id="549"/>
      <w:bookmarkEnd w:id="550"/>
    </w:p>
    <w:p>
      <w:pPr>
        <w:pStyle w:val="37"/>
        <w:ind w:firstLine="560"/>
        <w:rPr>
          <w:rFonts w:hint="eastAsia"/>
        </w:rPr>
      </w:pPr>
      <w:r>
        <w:rPr>
          <w:rFonts w:hint="eastAsia"/>
        </w:rPr>
        <w:t>寻找诚信可靠的机构和企业提供创立初期的资金，缓解困难。在回收销货款等其他方面发力，增加公司可以自主使用的自有资金，降低资金周转扩张过程中的外部资金需求。公司在筹融资方面秉持谨慎稳健的原则，尽量避免使用过高的财务赤字。</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rPr>
      <w:id w:val="-1017686288"/>
      <w:docPartObj>
        <w:docPartGallery w:val="autotext"/>
      </w:docPartObj>
    </w:sdtPr>
    <w:sdtEndPr>
      <w:rPr>
        <w:rFonts w:asciiTheme="majorHAnsi" w:hAnsiTheme="majorHAnsi" w:eastAsiaTheme="majorEastAsia" w:cstheme="majorBidi"/>
      </w:rPr>
    </w:sdtEndPr>
    <w:sdtContent>
      <w:sdt>
        <w:sdtPr>
          <w:rPr>
            <w:rFonts w:asciiTheme="majorHAnsi" w:hAnsiTheme="majorHAnsi" w:eastAsiaTheme="majorEastAsia" w:cstheme="majorBidi"/>
          </w:rPr>
          <w:id w:val="1806425445"/>
        </w:sdtPr>
        <w:sdtEndPr>
          <w:rPr>
            <w:rFonts w:asciiTheme="majorHAnsi" w:hAnsiTheme="majorHAnsi" w:eastAsiaTheme="majorEastAsia" w:cstheme="majorBidi"/>
          </w:rPr>
        </w:sdtEndPr>
        <w:sdtContent>
          <w:p>
            <w:pPr>
              <w:rPr>
                <w:rFonts w:asciiTheme="majorHAnsi" w:hAnsiTheme="majorHAnsi" w:eastAsiaTheme="majorEastAsia" w:cstheme="majorBidi"/>
              </w:rPr>
            </w:pPr>
            <w:r>
              <w:rPr>
                <w:rFonts w:asciiTheme="majorHAnsi" w:hAnsiTheme="majorHAnsi" w:eastAsiaTheme="majorEastAsia" w:cstheme="majorBidi"/>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626745" cy="626745"/>
                      <wp:effectExtent l="0" t="0" r="20955" b="20955"/>
                      <wp:wrapNone/>
                      <wp:docPr id="27" name="椭圆 27"/>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wps:spPr>
                            <wps:style>
                              <a:lnRef idx="3">
                                <a:schemeClr val="lt1"/>
                              </a:lnRef>
                              <a:fillRef idx="1">
                                <a:schemeClr val="accent6"/>
                              </a:fillRef>
                              <a:effectRef idx="1">
                                <a:schemeClr val="accent6"/>
                              </a:effectRef>
                              <a:fontRef idx="minor">
                                <a:schemeClr val="lt1"/>
                              </a:fontRef>
                            </wps:style>
                            <wps:txbx>
                              <w:txbxContent>
                                <w:p>
                                  <w:pPr>
                                    <w:jc w:val="center"/>
                                    <w:rPr>
                                      <w:b/>
                                      <w:bCs/>
                                      <w:color w:val="FFFFFF" w:themeColor="background1"/>
                                      <w:sz w:val="32"/>
                                      <w:szCs w:val="32"/>
                                      <w14:textFill>
                                        <w14:solidFill>
                                          <w14:schemeClr w14:val="bg1"/>
                                        </w14:solidFill>
                                      </w14:textFill>
                                    </w:rPr>
                                  </w:pPr>
                                  <w:r>
                                    <w:rPr>
                                      <w:sz w:val="22"/>
                                      <w:szCs w:val="22"/>
                                    </w:rPr>
                                    <w:fldChar w:fldCharType="begin"/>
                                  </w:r>
                                  <w:r>
                                    <w:instrText xml:space="preserve">PAGE    \* MERGEFORMAT</w:instrText>
                                  </w:r>
                                  <w:r>
                                    <w:rPr>
                                      <w:sz w:val="22"/>
                                      <w:szCs w:val="22"/>
                                    </w:rPr>
                                    <w:fldChar w:fldCharType="separate"/>
                                  </w:r>
                                  <w:r>
                                    <w:rPr>
                                      <w:b/>
                                      <w:bCs/>
                                      <w:color w:val="FFFFFF" w:themeColor="background1"/>
                                      <w:sz w:val="32"/>
                                      <w:szCs w:val="32"/>
                                      <w:lang w:val="zh-CN"/>
                                      <w14:textFill>
                                        <w14:solidFill>
                                          <w14:schemeClr w14:val="bg1"/>
                                        </w14:solidFill>
                                      </w14:textFill>
                                    </w:rPr>
                                    <w:t>2</w:t>
                                  </w:r>
                                  <w:r>
                                    <w:rPr>
                                      <w:b/>
                                      <w:bCs/>
                                      <w:color w:val="FFFFFF" w:themeColor="background1"/>
                                      <w:sz w:val="32"/>
                                      <w:szCs w:val="32"/>
                                      <w14:textFill>
                                        <w14:solidFill>
                                          <w14:schemeClr w14:val="bg1"/>
                                        </w14:solidFill>
                                      </w14:textFill>
                                    </w:rPr>
                                    <w:fldChar w:fldCharType="end"/>
                                  </w:r>
                                </w:p>
                              </w:txbxContent>
                            </wps:txbx>
                            <wps:bodyPr rot="0" vert="horz" wrap="square" lIns="91440" tIns="45720" rIns="91440" bIns="45720" anchor="ctr" anchorCtr="0" upright="1">
                              <a:noAutofit/>
                            </wps:bodyPr>
                          </wps:wsp>
                        </a:graphicData>
                      </a:graphic>
                    </wp:anchor>
                  </w:drawing>
                </mc:Choice>
                <mc:Fallback>
                  <w:pict>
                    <v:shape id="_x0000_s1026" o:spid="_x0000_s1026" o:spt="3" type="#_x0000_t3" style="position:absolute;left:0pt;margin-left:272.15pt;margin-top:769.6pt;height:49.35pt;width:49.35pt;mso-position-horizontal-relative:page;mso-position-vertical-relative:page;z-index:251660288;v-text-anchor:middle;mso-width-relative:page;mso-height-relative:page;" fillcolor="#70AD47 [3209]" filled="t" stroked="t" coordsize="21600,21600" o:gfxdata="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dxZum&#10;1QAAAAMBAAAPAAAAAAAAAAEAIAAAACIAAABkcnMvZG93bnJldi54bWxQSwECFAAUAAAACACHTuJA&#10;827KoF0CAAC7BAAADgAAAAAAAAABACAAAAAkAQAAZHJzL2Uyb0RvYy54bWxQSwUGAAAAAAYABgBZ&#10;AQAA8wUAAAAA&#10;">
                      <v:fill on="t" focussize="0,0"/>
                      <v:stroke weight="1.5pt" color="#FFFFFF [3201]" miterlimit="8" joinstyle="miter"/>
                      <v:imagedata o:title=""/>
                      <o:lock v:ext="edit" aspectratio="f"/>
                      <v:textbox>
                        <w:txbxContent>
                          <w:p>
                            <w:pPr>
                              <w:jc w:val="center"/>
                              <w:rPr>
                                <w:b/>
                                <w:bCs/>
                                <w:color w:val="FFFFFF" w:themeColor="background1"/>
                                <w:sz w:val="32"/>
                                <w:szCs w:val="32"/>
                                <w14:textFill>
                                  <w14:solidFill>
                                    <w14:schemeClr w14:val="bg1"/>
                                  </w14:solidFill>
                                </w14:textFill>
                              </w:rPr>
                            </w:pPr>
                            <w:r>
                              <w:rPr>
                                <w:sz w:val="22"/>
                                <w:szCs w:val="22"/>
                              </w:rPr>
                              <w:fldChar w:fldCharType="begin"/>
                            </w:r>
                            <w:r>
                              <w:instrText xml:space="preserve">PAGE    \* MERGEFORMAT</w:instrText>
                            </w:r>
                            <w:r>
                              <w:rPr>
                                <w:sz w:val="22"/>
                                <w:szCs w:val="22"/>
                              </w:rPr>
                              <w:fldChar w:fldCharType="separate"/>
                            </w:r>
                            <w:r>
                              <w:rPr>
                                <w:b/>
                                <w:bCs/>
                                <w:color w:val="FFFFFF" w:themeColor="background1"/>
                                <w:sz w:val="32"/>
                                <w:szCs w:val="32"/>
                                <w:lang w:val="zh-CN"/>
                                <w14:textFill>
                                  <w14:solidFill>
                                    <w14:schemeClr w14:val="bg1"/>
                                  </w14:solidFill>
                                </w14:textFill>
                              </w:rPr>
                              <w:t>2</w:t>
                            </w:r>
                            <w:r>
                              <w:rPr>
                                <w:b/>
                                <w:bCs/>
                                <w:color w:val="FFFFFF" w:themeColor="background1"/>
                                <w:sz w:val="32"/>
                                <w:szCs w:val="32"/>
                                <w14:textFill>
                                  <w14:solidFill>
                                    <w14:schemeClr w14:val="bg1"/>
                                  </w14:solidFill>
                                </w14:textFill>
                              </w:rPr>
                              <w:fldChar w:fldCharType="end"/>
                            </w:r>
                          </w:p>
                        </w:txbxContent>
                      </v:textbox>
                    </v:shape>
                  </w:pict>
                </mc:Fallback>
              </mc:AlternateContent>
            </w:r>
          </w:p>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文本框 218"/>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sdt>
                          <w:sdtPr>
                            <w:alias w:val="标题"/>
                            <w:id w:val="78679243"/>
                            <w15:dataBinding w:prefixMappings="xmlns:ns0='http://schemas.openxmlformats.org/package/2006/metadata/core-properties' xmlns:ns1='http://purl.org/dc/elements/1.1/'" w:xpath="/ns0:coreProperties[1]/ns1:title[1]" w:storeItemID="{6C3C8BC8-F283-45AE-878A-BAB7291924A1}"/>
                            <w:text/>
                          </w:sdtPr>
                          <w:sdtContent>
                            <w:p>
                              <w:pPr>
                                <w:spacing w:line="240" w:lineRule="auto"/>
                              </w:pPr>
                              <w:r>
                                <w:t>Silk Mate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28.6pt;height:13.45pt;width:468pt;mso-position-horizontal-relative:page;mso-position-vertical-relative:page;z-index:251662336;v-text-anchor:middle;mso-width-relative:margin;mso-height-relative:page;mso-width-percent:1000;" filled="f" stroked="f" coordsize="21600,21600" o:allowincell="f" o:gfxdata="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oK6Pe1AAAAAQBAAAPAAAAAAAA&#10;AAEAIAAAACIAAABkcnMvZG93bnJldi54bWxQSwECFAAUAAAACACHTuJAwyvzLBYCAAATBAAADgAA&#10;AAAAAAABACAAAAAjAQAAZHJzL2Uyb0RvYy54bWxQSwUGAAAAAAYABgBZAQAAqwUAAAAA&#10;">
              <v:fill on="f" focussize="0,0"/>
              <v:stroke on="f"/>
              <v:imagedata o:title=""/>
              <o:lock v:ext="edit" aspectratio="f"/>
              <v:textbox inset="2.54mm,0mm,2.54mm,0mm" style="mso-fit-shape-to-text:t;">
                <w:txbxContent>
                  <w:sdt>
                    <w:sdtPr>
                      <w:alias w:val="标题"/>
                      <w:id w:val="78679243"/>
                      <w15:dataBinding w:prefixMappings="xmlns:ns0='http://schemas.openxmlformats.org/package/2006/metadata/core-properties' xmlns:ns1='http://purl.org/dc/elements/1.1/'" w:xpath="/ns0:coreProperties[1]/ns1:title[1]" w:storeItemID="{6C3C8BC8-F283-45AE-878A-BAB7291924A1}"/>
                      <w:text/>
                    </w:sdtPr>
                    <w:sdtContent>
                      <w:p>
                        <w:pPr>
                          <w:spacing w:line="240" w:lineRule="auto"/>
                        </w:pPr>
                        <w:r>
                          <w:t>Silk Mate</w:t>
                        </w:r>
                      </w:p>
                    </w:sdtContent>
                  </w:sdt>
                </w:txbxContent>
              </v:textbox>
            </v:shape>
          </w:pict>
        </mc:Fallback>
      </mc:AlternateContent>
    </w:r>
    <w: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topMargin">
                <wp:align>center</wp:align>
              </wp:positionV>
              <wp:extent cx="914400" cy="170815"/>
              <wp:effectExtent l="0" t="0" r="0" b="635"/>
              <wp:wrapNone/>
              <wp:docPr id="219" name="文本框 219"/>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pPr>
                            <w:spacing w:line="240" w:lineRule="auto"/>
                            <w:jc w:val="right"/>
                            <w:rPr>
                              <w:color w:val="FFFFFF" w:themeColor="background1"/>
                              <w14:textFill>
                                <w14:solidFill>
                                  <w14:schemeClr w14:val="bg1"/>
                                </w14:solidFill>
                              </w14:textFill>
                            </w:rPr>
                          </w:pPr>
                          <w:r>
                            <w:fldChar w:fldCharType="begin"/>
                          </w:r>
                          <w:r>
                            <w:instrText xml:space="preserve">PAGE   \* MERGEFORMAT</w:instrText>
                          </w:r>
                          <w:r>
                            <w:fldChar w:fldCharType="separate"/>
                          </w:r>
                          <w:r>
                            <w:rPr>
                              <w:color w:val="FFFFFF" w:themeColor="background1"/>
                              <w:lang w:val="zh-CN"/>
                              <w14:textFill>
                                <w14:solidFill>
                                  <w14:schemeClr w14:val="bg1"/>
                                </w14:solidFill>
                              </w14:textFill>
                            </w:rPr>
                            <w:t>2</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_x0000_s1026" o:spid="_x0000_s1026" o:spt="202" type="#_x0000_t202" style="position:absolute;left:0pt;margin-left:0.05pt;margin-top:28.65pt;height:13.45pt;width:72pt;mso-position-horizontal-relative:page;mso-position-vertical-relative:page;z-index:251661312;v-text-anchor:middle;mso-width-relative:left-margin-area;mso-height-relative:page;mso-width-percent:1000;" fillcolor="#A9D18E [1945]" filled="t" stroked="f" coordsize="21600,21600" o:allowincell="f" o:gfxdata="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eKUfUAAAABAEAAA8AAAAAAAAAAQAgAAAAIgAA&#10;AGRycy9kb3ducmV2LnhtbFBLAQIUABQAAAAIAIdO4kD65UrbRQIAAHQEAAAOAAAAAAAAAAEAIAAA&#10;ACMBAABkcnMvZTJvRG9jLnhtbFBLBQYAAAAABgAGAFkBAADaBQAAAAA=&#10;">
              <v:fill on="t" focussize="0,0"/>
              <v:stroke on="f"/>
              <v:imagedata o:title=""/>
              <o:lock v:ext="edit" aspectratio="f"/>
              <v:textbox inset="2.54mm,0mm,2.54mm,0mm" style="mso-fit-shape-to-text:t;">
                <w:txbxContent>
                  <w:p>
                    <w:pPr>
                      <w:spacing w:line="240" w:lineRule="auto"/>
                      <w:jc w:val="right"/>
                      <w:rPr>
                        <w:color w:val="FFFFFF" w:themeColor="background1"/>
                        <w14:textFill>
                          <w14:solidFill>
                            <w14:schemeClr w14:val="bg1"/>
                          </w14:solidFill>
                        </w14:textFill>
                      </w:rPr>
                    </w:pPr>
                    <w:r>
                      <w:fldChar w:fldCharType="begin"/>
                    </w:r>
                    <w:r>
                      <w:instrText xml:space="preserve">PAGE   \* MERGEFORMAT</w:instrText>
                    </w:r>
                    <w:r>
                      <w:fldChar w:fldCharType="separate"/>
                    </w:r>
                    <w:r>
                      <w:rPr>
                        <w:color w:val="FFFFFF" w:themeColor="background1"/>
                        <w:lang w:val="zh-CN"/>
                        <w14:textFill>
                          <w14:solidFill>
                            <w14:schemeClr w14:val="bg1"/>
                          </w14:solidFill>
                        </w14:textFill>
                      </w:rPr>
                      <w:t>2</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DA28A6"/>
    <w:multiLevelType w:val="singleLevel"/>
    <w:tmpl w:val="9EDA28A6"/>
    <w:lvl w:ilvl="0" w:tentative="0">
      <w:start w:val="1"/>
      <w:numFmt w:val="decimal"/>
      <w:lvlText w:val="%1."/>
      <w:lvlJc w:val="left"/>
      <w:pPr>
        <w:tabs>
          <w:tab w:val="left" w:pos="312"/>
        </w:tabs>
      </w:pPr>
    </w:lvl>
  </w:abstractNum>
  <w:abstractNum w:abstractNumId="1">
    <w:nsid w:val="38899CE1"/>
    <w:multiLevelType w:val="singleLevel"/>
    <w:tmpl w:val="38899CE1"/>
    <w:lvl w:ilvl="0" w:tentative="0">
      <w:start w:val="1"/>
      <w:numFmt w:val="decimal"/>
      <w:lvlText w:val="%1."/>
      <w:lvlJc w:val="left"/>
      <w:pPr>
        <w:tabs>
          <w:tab w:val="left" w:pos="312"/>
        </w:tabs>
      </w:pPr>
    </w:lvl>
  </w:abstractNum>
  <w:abstractNum w:abstractNumId="2">
    <w:nsid w:val="3AF204A7"/>
    <w:multiLevelType w:val="multilevel"/>
    <w:tmpl w:val="3AF204A7"/>
    <w:lvl w:ilvl="0" w:tentative="0">
      <w:start w:val="1"/>
      <w:numFmt w:val="decimal"/>
      <w:pStyle w:val="2"/>
      <w:suff w:val="nothing"/>
      <w:lvlText w:val="第%1章"/>
      <w:lvlJc w:val="left"/>
      <w:pPr>
        <w:ind w:left="0" w:firstLine="0"/>
      </w:pPr>
      <w:rPr>
        <w:rFonts w:hint="eastAsia" w:eastAsia="黑体"/>
        <w:b/>
        <w:i w:val="0"/>
        <w:sz w:val="32"/>
      </w:rPr>
    </w:lvl>
    <w:lvl w:ilvl="1" w:tentative="0">
      <w:start w:val="1"/>
      <w:numFmt w:val="decimal"/>
      <w:pStyle w:val="3"/>
      <w:suff w:val="nothing"/>
      <w:lvlText w:val="%1.%2"/>
      <w:lvlJc w:val="left"/>
      <w:pPr>
        <w:ind w:left="0" w:firstLine="0"/>
      </w:pPr>
      <w:rPr>
        <w:rFonts w:hint="eastAsia" w:eastAsia="黑体"/>
        <w:b/>
        <w:i w:val="0"/>
        <w:sz w:val="30"/>
      </w:rPr>
    </w:lvl>
    <w:lvl w:ilvl="2" w:tentative="0">
      <w:start w:val="1"/>
      <w:numFmt w:val="decimal"/>
      <w:pStyle w:val="4"/>
      <w:suff w:val="nothing"/>
      <w:lvlText w:val="%1.%2.%3"/>
      <w:lvlJc w:val="left"/>
      <w:pPr>
        <w:ind w:left="0" w:firstLine="0"/>
      </w:pPr>
      <w:rPr>
        <w:rFonts w:hint="eastAsia" w:eastAsia="黑体"/>
        <w:b/>
        <w:i w:val="0"/>
        <w:sz w:val="28"/>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3">
    <w:nsid w:val="445DA675"/>
    <w:multiLevelType w:val="singleLevel"/>
    <w:tmpl w:val="445DA675"/>
    <w:lvl w:ilvl="0" w:tentative="0">
      <w:start w:val="1"/>
      <w:numFmt w:val="decimal"/>
      <w:lvlText w:val="%1."/>
      <w:lvlJc w:val="left"/>
      <w:pPr>
        <w:tabs>
          <w:tab w:val="left" w:pos="312"/>
        </w:tabs>
      </w:pPr>
    </w:lvl>
  </w:abstractNum>
  <w:abstractNum w:abstractNumId="4">
    <w:nsid w:val="4B3913C3"/>
    <w:multiLevelType w:val="multilevel"/>
    <w:tmpl w:val="4B3913C3"/>
    <w:lvl w:ilvl="0" w:tentative="0">
      <w:start w:val="1"/>
      <w:numFmt w:val="decimal"/>
      <w:lvlText w:val="（%1）"/>
      <w:lvlJc w:val="left"/>
      <w:pPr>
        <w:ind w:left="980" w:hanging="420"/>
      </w:pPr>
      <w:rPr>
        <w:rFonts w:ascii="Times New Roman" w:hAnsi="Times New Roman" w:eastAsia="仿宋" w:cs="仿宋"/>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5">
    <w:nsid w:val="61083614"/>
    <w:multiLevelType w:val="multilevel"/>
    <w:tmpl w:val="6108361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3ED"/>
    <w:rsid w:val="00114A8E"/>
    <w:rsid w:val="001C54F2"/>
    <w:rsid w:val="001E06A4"/>
    <w:rsid w:val="002851D3"/>
    <w:rsid w:val="003E1F5E"/>
    <w:rsid w:val="00481283"/>
    <w:rsid w:val="005713ED"/>
    <w:rsid w:val="005A4A9E"/>
    <w:rsid w:val="005C6597"/>
    <w:rsid w:val="00763560"/>
    <w:rsid w:val="007F45A2"/>
    <w:rsid w:val="00810088"/>
    <w:rsid w:val="00866BE9"/>
    <w:rsid w:val="009A70E5"/>
    <w:rsid w:val="00A419FC"/>
    <w:rsid w:val="00B574B0"/>
    <w:rsid w:val="00BA4092"/>
    <w:rsid w:val="00BE372E"/>
    <w:rsid w:val="00D91C25"/>
    <w:rsid w:val="00DE381D"/>
    <w:rsid w:val="00DE51D5"/>
    <w:rsid w:val="00E967A7"/>
    <w:rsid w:val="00EA3594"/>
    <w:rsid w:val="00EC344F"/>
    <w:rsid w:val="00EC7649"/>
    <w:rsid w:val="00F93FDB"/>
    <w:rsid w:val="00FB27B5"/>
    <w:rsid w:val="00FE6419"/>
    <w:rsid w:val="03E47515"/>
    <w:rsid w:val="043D1833"/>
    <w:rsid w:val="0BB448E7"/>
    <w:rsid w:val="0C93155D"/>
    <w:rsid w:val="0CCD2EA0"/>
    <w:rsid w:val="10CC55B8"/>
    <w:rsid w:val="110E5B53"/>
    <w:rsid w:val="14DA2959"/>
    <w:rsid w:val="15852D62"/>
    <w:rsid w:val="185D11EC"/>
    <w:rsid w:val="19CB2B7C"/>
    <w:rsid w:val="1E091477"/>
    <w:rsid w:val="27F84A8D"/>
    <w:rsid w:val="2BE20D22"/>
    <w:rsid w:val="2D3F4EEB"/>
    <w:rsid w:val="3D954E00"/>
    <w:rsid w:val="3FF83092"/>
    <w:rsid w:val="44EF0AFA"/>
    <w:rsid w:val="45A04FBE"/>
    <w:rsid w:val="47395584"/>
    <w:rsid w:val="4E086F29"/>
    <w:rsid w:val="4E226651"/>
    <w:rsid w:val="4E6F1552"/>
    <w:rsid w:val="4EBE3A8B"/>
    <w:rsid w:val="50363012"/>
    <w:rsid w:val="52EA30A1"/>
    <w:rsid w:val="56E76844"/>
    <w:rsid w:val="57F66085"/>
    <w:rsid w:val="59694167"/>
    <w:rsid w:val="5B4159D5"/>
    <w:rsid w:val="5C9B542C"/>
    <w:rsid w:val="602A289F"/>
    <w:rsid w:val="60623EF7"/>
    <w:rsid w:val="61E16C6D"/>
    <w:rsid w:val="63732C3E"/>
    <w:rsid w:val="637D376C"/>
    <w:rsid w:val="63F77722"/>
    <w:rsid w:val="64CF0CB8"/>
    <w:rsid w:val="667016B7"/>
    <w:rsid w:val="6690702F"/>
    <w:rsid w:val="699E70D5"/>
    <w:rsid w:val="6D1E5583"/>
    <w:rsid w:val="700F1F41"/>
    <w:rsid w:val="70F218C9"/>
    <w:rsid w:val="70F76421"/>
    <w:rsid w:val="71863E59"/>
    <w:rsid w:val="741A756C"/>
    <w:rsid w:val="74797872"/>
    <w:rsid w:val="751E3E3B"/>
    <w:rsid w:val="794C1B10"/>
    <w:rsid w:val="7A416F53"/>
    <w:rsid w:val="7AB1268F"/>
    <w:rsid w:val="7B184E4B"/>
    <w:rsid w:val="7BB93375"/>
    <w:rsid w:val="7C3826D3"/>
    <w:rsid w:val="7E5B3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5"/>
    <w:unhideWhenUsed/>
    <w:qFormat/>
    <w:uiPriority w:val="0"/>
    <w:pPr>
      <w:keepNext/>
      <w:keepLines/>
      <w:numPr>
        <w:ilvl w:val="1"/>
        <w:numId w:val="1"/>
      </w:numPr>
      <w:spacing w:before="260" w:after="260" w:line="416" w:lineRule="auto"/>
      <w:outlineLvl w:val="1"/>
    </w:pPr>
    <w:rPr>
      <w:rFonts w:eastAsia="黑体" w:asciiTheme="majorHAnsi" w:hAnsiTheme="majorHAnsi" w:cstheme="majorBidi"/>
      <w:b/>
      <w:bCs/>
      <w:sz w:val="30"/>
      <w:szCs w:val="32"/>
    </w:rPr>
  </w:style>
  <w:style w:type="paragraph" w:styleId="4">
    <w:name w:val="heading 3"/>
    <w:basedOn w:val="1"/>
    <w:next w:val="1"/>
    <w:link w:val="26"/>
    <w:unhideWhenUsed/>
    <w:qFormat/>
    <w:uiPriority w:val="0"/>
    <w:pPr>
      <w:keepNext/>
      <w:keepLines/>
      <w:numPr>
        <w:ilvl w:val="2"/>
        <w:numId w:val="1"/>
      </w:numPr>
      <w:spacing w:before="260" w:after="260" w:line="416" w:lineRule="auto"/>
      <w:outlineLvl w:val="2"/>
    </w:pPr>
    <w:rPr>
      <w:rFonts w:eastAsia="黑体"/>
      <w:b/>
      <w:bCs/>
      <w:sz w:val="28"/>
      <w:szCs w:val="32"/>
    </w:rPr>
  </w:style>
  <w:style w:type="paragraph" w:styleId="5">
    <w:name w:val="heading 4"/>
    <w:basedOn w:val="1"/>
    <w:next w:val="1"/>
    <w:link w:val="27"/>
    <w:semiHidden/>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9"/>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0"/>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31"/>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32"/>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ascii="Arial" w:hAnsi="Arial" w:eastAsia="黑体"/>
      <w:sz w:val="20"/>
    </w:rPr>
  </w:style>
  <w:style w:type="paragraph" w:styleId="12">
    <w:name w:val="toc 3"/>
    <w:basedOn w:val="1"/>
    <w:next w:val="1"/>
    <w:qFormat/>
    <w:uiPriority w:val="39"/>
    <w:pPr>
      <w:ind w:left="840" w:leftChars="400"/>
    </w:pPr>
  </w:style>
  <w:style w:type="paragraph" w:styleId="13">
    <w:name w:val="footer"/>
    <w:basedOn w:val="1"/>
    <w:link w:val="43"/>
    <w:qFormat/>
    <w:uiPriority w:val="99"/>
    <w:pPr>
      <w:tabs>
        <w:tab w:val="center" w:pos="4153"/>
        <w:tab w:val="right" w:pos="8306"/>
      </w:tabs>
      <w:snapToGrid w:val="0"/>
      <w:spacing w:line="240" w:lineRule="auto"/>
      <w:jc w:val="left"/>
    </w:pPr>
    <w:rPr>
      <w:sz w:val="18"/>
      <w:szCs w:val="18"/>
    </w:rPr>
  </w:style>
  <w:style w:type="paragraph" w:styleId="14">
    <w:name w:val="header"/>
    <w:basedOn w:val="1"/>
    <w:link w:val="42"/>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qFormat/>
    <w:uiPriority w:val="39"/>
  </w:style>
  <w:style w:type="paragraph" w:styleId="16">
    <w:name w:val="footnote text"/>
    <w:basedOn w:val="1"/>
    <w:link w:val="38"/>
    <w:qFormat/>
    <w:uiPriority w:val="0"/>
    <w:pPr>
      <w:snapToGrid w:val="0"/>
      <w:jc w:val="left"/>
    </w:pPr>
    <w:rPr>
      <w:sz w:val="18"/>
      <w:szCs w:val="18"/>
    </w:rPr>
  </w:style>
  <w:style w:type="paragraph" w:styleId="17">
    <w:name w:val="table of figures"/>
    <w:basedOn w:val="1"/>
    <w:next w:val="1"/>
    <w:qFormat/>
    <w:uiPriority w:val="99"/>
    <w:pPr>
      <w:ind w:leftChars="200" w:hanging="200" w:hangingChars="200"/>
    </w:pPr>
  </w:style>
  <w:style w:type="paragraph" w:styleId="18">
    <w:name w:val="toc 2"/>
    <w:basedOn w:val="1"/>
    <w:next w:val="1"/>
    <w:qFormat/>
    <w:uiPriority w:val="39"/>
    <w:pPr>
      <w:ind w:left="420" w:leftChars="200"/>
    </w:pPr>
  </w:style>
  <w:style w:type="paragraph" w:styleId="19">
    <w:name w:val="Normal (Web)"/>
    <w:basedOn w:val="1"/>
    <w:qFormat/>
    <w:uiPriority w:val="0"/>
    <w:pPr>
      <w:spacing w:before="100" w:beforeAutospacing="1" w:after="100" w:afterAutospacing="1"/>
      <w:jc w:val="left"/>
    </w:pPr>
    <w:rPr>
      <w:rFonts w:cs="Times New Roman"/>
      <w:kern w:val="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basedOn w:val="22"/>
    <w:unhideWhenUsed/>
    <w:qFormat/>
    <w:uiPriority w:val="99"/>
    <w:rPr>
      <w:color w:val="0563C1" w:themeColor="hyperlink"/>
      <w:u w:val="single"/>
      <w14:textFill>
        <w14:solidFill>
          <w14:schemeClr w14:val="hlink"/>
        </w14:solidFill>
      </w14:textFill>
    </w:rPr>
  </w:style>
  <w:style w:type="character" w:styleId="24">
    <w:name w:val="footnote reference"/>
    <w:basedOn w:val="22"/>
    <w:qFormat/>
    <w:uiPriority w:val="0"/>
    <w:rPr>
      <w:vertAlign w:val="superscript"/>
    </w:rPr>
  </w:style>
  <w:style w:type="character" w:customStyle="1" w:styleId="25">
    <w:name w:val="标题 2 字符"/>
    <w:basedOn w:val="22"/>
    <w:link w:val="3"/>
    <w:qFormat/>
    <w:uiPriority w:val="0"/>
    <w:rPr>
      <w:rFonts w:eastAsia="黑体" w:asciiTheme="majorHAnsi" w:hAnsiTheme="majorHAnsi" w:cstheme="majorBidi"/>
      <w:b/>
      <w:bCs/>
      <w:kern w:val="2"/>
      <w:sz w:val="30"/>
      <w:szCs w:val="32"/>
    </w:rPr>
  </w:style>
  <w:style w:type="character" w:customStyle="1" w:styleId="26">
    <w:name w:val="标题 3 字符"/>
    <w:basedOn w:val="22"/>
    <w:link w:val="4"/>
    <w:qFormat/>
    <w:uiPriority w:val="0"/>
    <w:rPr>
      <w:rFonts w:eastAsia="黑体" w:asciiTheme="minorHAnsi" w:hAnsiTheme="minorHAnsi" w:cstheme="minorBidi"/>
      <w:b/>
      <w:bCs/>
      <w:kern w:val="2"/>
      <w:sz w:val="28"/>
      <w:szCs w:val="32"/>
    </w:rPr>
  </w:style>
  <w:style w:type="character" w:customStyle="1" w:styleId="27">
    <w:name w:val="标题 4 字符"/>
    <w:basedOn w:val="22"/>
    <w:link w:val="5"/>
    <w:semiHidden/>
    <w:qFormat/>
    <w:uiPriority w:val="0"/>
    <w:rPr>
      <w:rFonts w:asciiTheme="majorHAnsi" w:hAnsiTheme="majorHAnsi" w:eastAsiaTheme="majorEastAsia" w:cstheme="majorBidi"/>
      <w:b/>
      <w:bCs/>
      <w:kern w:val="2"/>
      <w:sz w:val="28"/>
      <w:szCs w:val="28"/>
    </w:rPr>
  </w:style>
  <w:style w:type="character" w:customStyle="1" w:styleId="28">
    <w:name w:val="标题 5 字符"/>
    <w:basedOn w:val="22"/>
    <w:link w:val="6"/>
    <w:semiHidden/>
    <w:qFormat/>
    <w:uiPriority w:val="0"/>
    <w:rPr>
      <w:rFonts w:asciiTheme="minorHAnsi" w:hAnsiTheme="minorHAnsi" w:cstheme="minorBidi"/>
      <w:b/>
      <w:bCs/>
      <w:kern w:val="2"/>
      <w:sz w:val="28"/>
      <w:szCs w:val="28"/>
    </w:rPr>
  </w:style>
  <w:style w:type="character" w:customStyle="1" w:styleId="29">
    <w:name w:val="标题 6 字符"/>
    <w:basedOn w:val="22"/>
    <w:link w:val="7"/>
    <w:semiHidden/>
    <w:qFormat/>
    <w:uiPriority w:val="0"/>
    <w:rPr>
      <w:rFonts w:asciiTheme="majorHAnsi" w:hAnsiTheme="majorHAnsi" w:eastAsiaTheme="majorEastAsia" w:cstheme="majorBidi"/>
      <w:b/>
      <w:bCs/>
      <w:kern w:val="2"/>
      <w:sz w:val="24"/>
      <w:szCs w:val="24"/>
    </w:rPr>
  </w:style>
  <w:style w:type="character" w:customStyle="1" w:styleId="30">
    <w:name w:val="标题 7 字符"/>
    <w:basedOn w:val="22"/>
    <w:link w:val="8"/>
    <w:semiHidden/>
    <w:qFormat/>
    <w:uiPriority w:val="0"/>
    <w:rPr>
      <w:rFonts w:asciiTheme="minorHAnsi" w:hAnsiTheme="minorHAnsi" w:cstheme="minorBidi"/>
      <w:b/>
      <w:bCs/>
      <w:kern w:val="2"/>
      <w:sz w:val="24"/>
      <w:szCs w:val="24"/>
    </w:rPr>
  </w:style>
  <w:style w:type="character" w:customStyle="1" w:styleId="31">
    <w:name w:val="标题 8 字符"/>
    <w:basedOn w:val="22"/>
    <w:link w:val="9"/>
    <w:semiHidden/>
    <w:qFormat/>
    <w:uiPriority w:val="0"/>
    <w:rPr>
      <w:rFonts w:asciiTheme="majorHAnsi" w:hAnsiTheme="majorHAnsi" w:eastAsiaTheme="majorEastAsia" w:cstheme="majorBidi"/>
      <w:kern w:val="2"/>
      <w:sz w:val="24"/>
      <w:szCs w:val="24"/>
    </w:rPr>
  </w:style>
  <w:style w:type="character" w:customStyle="1" w:styleId="32">
    <w:name w:val="标题 9 字符"/>
    <w:basedOn w:val="22"/>
    <w:link w:val="10"/>
    <w:semiHidden/>
    <w:qFormat/>
    <w:uiPriority w:val="0"/>
    <w:rPr>
      <w:rFonts w:asciiTheme="majorHAnsi" w:hAnsiTheme="majorHAnsi" w:eastAsiaTheme="majorEastAsia" w:cstheme="majorBidi"/>
      <w:kern w:val="2"/>
      <w:sz w:val="21"/>
      <w:szCs w:val="21"/>
    </w:rPr>
  </w:style>
  <w:style w:type="paragraph" w:styleId="33">
    <w:name w:val="List Paragraph"/>
    <w:basedOn w:val="1"/>
    <w:qFormat/>
    <w:uiPriority w:val="34"/>
    <w:pPr>
      <w:ind w:firstLine="420" w:firstLineChars="200"/>
    </w:pPr>
  </w:style>
  <w:style w:type="paragraph" w:customStyle="1" w:styleId="34">
    <w:name w:val="WPSOffice手动目录 1"/>
    <w:qFormat/>
    <w:uiPriority w:val="0"/>
    <w:rPr>
      <w:rFonts w:asciiTheme="minorHAnsi" w:hAnsiTheme="minorHAnsi" w:eastAsiaTheme="minorEastAsia" w:cstheme="minorBidi"/>
      <w:lang w:val="en-US" w:eastAsia="zh-CN" w:bidi="ar-SA"/>
    </w:rPr>
  </w:style>
  <w:style w:type="paragraph" w:customStyle="1" w:styleId="3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6">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37">
    <w:name w:val="阿八八八"/>
    <w:basedOn w:val="1"/>
    <w:qFormat/>
    <w:uiPriority w:val="0"/>
    <w:pPr>
      <w:snapToGrid w:val="0"/>
      <w:spacing w:line="288" w:lineRule="auto"/>
      <w:ind w:firstLine="200" w:firstLineChars="200"/>
    </w:pPr>
    <w:rPr>
      <w:rFonts w:ascii="Times New Roman" w:hAnsi="Times New Roman" w:eastAsia="仿宋" w:cs="仿宋"/>
      <w:bCs/>
      <w:color w:val="000000"/>
      <w:sz w:val="28"/>
      <w:shd w:val="clear" w:color="auto" w:fill="FFFFFF"/>
    </w:rPr>
  </w:style>
  <w:style w:type="character" w:customStyle="1" w:styleId="38">
    <w:name w:val="脚注文本 字符"/>
    <w:basedOn w:val="22"/>
    <w:link w:val="16"/>
    <w:uiPriority w:val="0"/>
    <w:rPr>
      <w:rFonts w:asciiTheme="minorHAnsi" w:hAnsiTheme="minorHAnsi" w:cstheme="minorBidi"/>
      <w:kern w:val="2"/>
      <w:sz w:val="18"/>
      <w:szCs w:val="18"/>
    </w:rPr>
  </w:style>
  <w:style w:type="table" w:customStyle="1" w:styleId="39">
    <w:name w:val="Grid Table 5 Dark Accent 6"/>
    <w:basedOn w:val="2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40">
    <w:name w:val="Grid Table 4 Accent 6"/>
    <w:basedOn w:val="20"/>
    <w:qFormat/>
    <w:uiPriority w:val="49"/>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paragraph" w:customStyle="1" w:styleId="41">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2">
    <w:name w:val="页眉 字符"/>
    <w:basedOn w:val="22"/>
    <w:link w:val="14"/>
    <w:qFormat/>
    <w:uiPriority w:val="99"/>
    <w:rPr>
      <w:rFonts w:asciiTheme="minorHAnsi" w:hAnsiTheme="minorHAnsi" w:cstheme="minorBidi"/>
      <w:kern w:val="2"/>
      <w:sz w:val="18"/>
      <w:szCs w:val="18"/>
    </w:rPr>
  </w:style>
  <w:style w:type="character" w:customStyle="1" w:styleId="43">
    <w:name w:val="页脚 字符"/>
    <w:basedOn w:val="22"/>
    <w:link w:val="13"/>
    <w:qFormat/>
    <w:uiPriority w:val="99"/>
    <w:rPr>
      <w:rFonts w:asciiTheme="minorHAnsi" w:hAnsiTheme="minorHAnsi" w:cstheme="minorBidi"/>
      <w:kern w:val="2"/>
      <w:sz w:val="18"/>
      <w:szCs w:val="18"/>
    </w:rPr>
  </w:style>
  <w:style w:type="table" w:customStyle="1" w:styleId="44">
    <w:name w:val="Grid Table 1 Light Accent 6"/>
    <w:basedOn w:val="20"/>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45">
    <w:name w:val="Grid Table Light"/>
    <w:basedOn w:val="2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2MzMxMjQxMTMxIiwKCSJHcm91cElkIiA6ICIzNzQ1ODAwNzgiLAoJIkltYWdlIiA6ICJpVkJPUncwS0dnb0FBQUFOU1VoRVVnQUFBc2dBQUFEOENBWUFBQUJxMzFMa0FBQUFDWEJJV1hNQUFBc1RBQUFMRXdFQW1wd1lBQUFnQUVsRVFWUjRuTzNkZDN3VTFkN0g4ZTl1R2draDFCQWdRRkNhQ0lnSklsamdTaFBsZ3BRSFJZb2EwVWNCSVRRQkVRRXBpaGNVRld5QUJRUVI2WWlnZ09WNlJhOG9nWXVDU0pObUhxclUwRkoybnovV25UdVRMZGtVU0V3Kzc5ZUxGenN6WjJiT01qOTJmM3ZtekRr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23FEDF-9F74-4D30-85A7-9A3D377589DC}">
  <ds:schemaRefs/>
</ds:datastoreItem>
</file>

<file path=docProps/app.xml><?xml version="1.0" encoding="utf-8"?>
<Properties xmlns="http://schemas.openxmlformats.org/officeDocument/2006/extended-properties" xmlns:vt="http://schemas.openxmlformats.org/officeDocument/2006/docPropsVTypes">
  <Template>Normal.dotm</Template>
  <Pages>72</Pages>
  <Words>7182</Words>
  <Characters>40943</Characters>
  <Lines>341</Lines>
  <Paragraphs>96</Paragraphs>
  <TotalTime>37</TotalTime>
  <ScaleCrop>false</ScaleCrop>
  <LinksUpToDate>false</LinksUpToDate>
  <CharactersWithSpaces>48029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2021-10-29T12:21:00Z</dcterms:created>
  <dc:creator>DELL</dc:creator>
  <cp:lastModifiedBy>珝</cp:lastModifiedBy>
  <dcterms:modified xsi:type="dcterms:W3CDTF">2021-12-14T10:35:36Z</dcterms:modified>
  <dc:title>Silk Mate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D54790AC680243809317EEEDBCA93C1B</vt:lpwstr>
  </property>
</Properties>
</file>