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5F004" w14:textId="77777777" w:rsidR="009C5D6D" w:rsidRDefault="00901040">
      <w:pPr>
        <w:spacing w:after="108" w:line="259" w:lineRule="auto"/>
        <w:ind w:left="14"/>
        <w:jc w:val="center"/>
      </w:pPr>
      <w:r>
        <w:rPr>
          <w:b/>
          <w:color w:val="0F172A"/>
          <w:sz w:val="48"/>
        </w:rPr>
        <w:t xml:space="preserve">Hardware-Enforced AI Governance: </w:t>
      </w:r>
    </w:p>
    <w:p w14:paraId="6345A35E" w14:textId="77777777" w:rsidR="009C5D6D" w:rsidRDefault="00901040">
      <w:pPr>
        <w:spacing w:after="124" w:line="259" w:lineRule="auto"/>
        <w:ind w:left="307" w:firstLine="0"/>
      </w:pPr>
      <w:r>
        <w:rPr>
          <w:b/>
          <w:color w:val="0F172A"/>
          <w:sz w:val="48"/>
        </w:rPr>
        <w:t xml:space="preserve">Mitigating Execution Entropy and Grid </w:t>
      </w:r>
    </w:p>
    <w:p w14:paraId="019925CB" w14:textId="77777777" w:rsidR="009C5D6D" w:rsidRDefault="00901040">
      <w:pPr>
        <w:spacing w:after="108" w:line="259" w:lineRule="auto"/>
        <w:ind w:left="14" w:right="4"/>
        <w:jc w:val="center"/>
      </w:pPr>
      <w:r>
        <w:rPr>
          <w:b/>
          <w:color w:val="0F172A"/>
          <w:sz w:val="48"/>
        </w:rPr>
        <w:t xml:space="preserve">Saturation via Phase-Locked Threshold Gating </w:t>
      </w:r>
    </w:p>
    <w:p w14:paraId="72490FC1" w14:textId="77777777" w:rsidR="00941409" w:rsidRDefault="00901040">
      <w:pPr>
        <w:spacing w:after="31" w:line="276" w:lineRule="auto"/>
        <w:ind w:left="488" w:right="419"/>
        <w:jc w:val="center"/>
        <w:rPr>
          <w:color w:val="475569"/>
          <w:sz w:val="20"/>
        </w:rPr>
      </w:pPr>
      <w:r>
        <w:rPr>
          <w:b/>
          <w:color w:val="475569"/>
          <w:sz w:val="20"/>
        </w:rPr>
        <w:t>Author:</w:t>
      </w:r>
      <w:r>
        <w:rPr>
          <w:color w:val="475569"/>
          <w:sz w:val="20"/>
        </w:rPr>
        <w:t xml:space="preserve"> Antonio Gonzalez, Founder &amp; Inventor, TCPARTSDIRECT, LLC / GVF Dynamics </w:t>
      </w:r>
    </w:p>
    <w:p w14:paraId="6B4B8BA6" w14:textId="564A0FB2" w:rsidR="009C5D6D" w:rsidRDefault="00901040">
      <w:pPr>
        <w:spacing w:after="31" w:line="276" w:lineRule="auto"/>
        <w:ind w:left="488" w:right="419"/>
        <w:jc w:val="center"/>
      </w:pPr>
      <w:r>
        <w:rPr>
          <w:b/>
          <w:color w:val="475569"/>
          <w:sz w:val="20"/>
        </w:rPr>
        <w:t>Date:</w:t>
      </w:r>
      <w:r>
        <w:rPr>
          <w:color w:val="475569"/>
          <w:sz w:val="20"/>
        </w:rPr>
        <w:t xml:space="preserve"> August 2026 </w:t>
      </w:r>
    </w:p>
    <w:p w14:paraId="4C395445" w14:textId="77777777" w:rsidR="009C5D6D" w:rsidRDefault="00901040">
      <w:pPr>
        <w:spacing w:after="416" w:line="276" w:lineRule="auto"/>
        <w:ind w:left="488" w:right="474"/>
        <w:jc w:val="center"/>
      </w:pPr>
      <w:r>
        <w:rPr>
          <w:b/>
          <w:color w:val="475569"/>
          <w:sz w:val="20"/>
        </w:rPr>
        <w:t>Status:</w:t>
      </w:r>
      <w:r>
        <w:rPr>
          <w:color w:val="475569"/>
          <w:sz w:val="20"/>
        </w:rPr>
        <w:t xml:space="preserve"> Confidential &amp; Proprietary. U.S. Patent Pending (Provisional Patent Application) </w:t>
      </w:r>
    </w:p>
    <w:p w14:paraId="4E62AEE9" w14:textId="77777777" w:rsidR="009C5D6D" w:rsidRDefault="00901040">
      <w:pPr>
        <w:pStyle w:val="Heading1"/>
        <w:ind w:left="385" w:hanging="400"/>
      </w:pPr>
      <w:r>
        <w:t xml:space="preserve">EXECUTIVE SUMMARY </w:t>
      </w:r>
    </w:p>
    <w:p w14:paraId="3ADD044D" w14:textId="77777777" w:rsidR="009C5D6D" w:rsidRDefault="00901040">
      <w:pPr>
        <w:spacing w:after="201" w:line="259" w:lineRule="auto"/>
        <w:ind w:left="60" w:firstLine="0"/>
      </w:pPr>
      <w:r>
        <w:rPr>
          <w:rFonts w:ascii="Calibri" w:eastAsia="Calibri" w:hAnsi="Calibri" w:cs="Calibri"/>
          <w:noProof/>
        </w:rPr>
        <mc:AlternateContent>
          <mc:Choice Requires="wpg">
            <w:drawing>
              <wp:inline distT="0" distB="0" distL="0" distR="0" wp14:anchorId="7E4E0CF0" wp14:editId="13534B4D">
                <wp:extent cx="5867400" cy="12700"/>
                <wp:effectExtent l="0" t="0" r="0" b="0"/>
                <wp:docPr id="11377" name="Group 1137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7" name="Shape 8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77" style="width:462pt;height:1pt;mso-position-horizontal-relative:char;mso-position-vertical-relative:line" coordsize="58674,127">
                <v:shape id="Shape 87" style="position:absolute;width:58674;height:0;left:0;top:0;" coordsize="5867400,0" path="m0,0l5867400,0">
                  <v:stroke weight="1pt" endcap="flat" joinstyle="miter" miterlimit="10" on="true" color="#888888"/>
                  <v:fill on="false" color="#000000" opacity="0"/>
                </v:shape>
              </v:group>
            </w:pict>
          </mc:Fallback>
        </mc:AlternateContent>
      </w:r>
    </w:p>
    <w:p w14:paraId="4BFAC7C7" w14:textId="77777777" w:rsidR="009C5D6D" w:rsidRDefault="00901040">
      <w:pPr>
        <w:spacing w:after="57" w:line="259" w:lineRule="auto"/>
      </w:pPr>
      <w:r>
        <w:t xml:space="preserve">The rapid proliferation of agentic artificial intelligence and high-density Large Language Model </w:t>
      </w:r>
    </w:p>
    <w:p w14:paraId="6ECEF3E8" w14:textId="1965CF4A" w:rsidR="009C5D6D" w:rsidRDefault="00901040">
      <w:r>
        <w:t xml:space="preserve">(LLM) clusters </w:t>
      </w:r>
      <w:r w:rsidR="00941409">
        <w:t>have</w:t>
      </w:r>
      <w:r>
        <w:t xml:space="preserve"> exposed two critical vulnerabilities in modern infrastructure:</w:t>
      </w:r>
      <w:r>
        <w:t xml:space="preserve"> </w:t>
      </w:r>
      <w:r>
        <w:rPr>
          <w:b/>
        </w:rPr>
        <w:t>Stochastic Execution Entropy</w:t>
      </w:r>
      <w:r>
        <w:t xml:space="preserve"> (unbounded loop execution, prompt injection, and zero-day execution drift) and </w:t>
      </w:r>
      <w:r>
        <w:rPr>
          <w:b/>
        </w:rPr>
        <w:t>Thermodynamic Grid Saturation</w:t>
      </w:r>
      <w:r>
        <w:t xml:space="preserve"> (unprecedented dynamic power draw breaching utility Power Purchase Agreements). </w:t>
      </w:r>
    </w:p>
    <w:p w14:paraId="14700A96" w14:textId="77777777" w:rsidR="009C5D6D" w:rsidRDefault="00901040">
      <w:r>
        <w:t xml:space="preserve">Current AI safety frameworks rely on post-hoc API wrappers and soft system-prompt filters. These software-only approaches fail to provide deterministic guarantees and introduce significant execution latency (&gt;100 ms). </w:t>
      </w:r>
    </w:p>
    <w:p w14:paraId="2952E759" w14:textId="77777777" w:rsidR="009C5D6D" w:rsidRDefault="00901040">
      <w:pPr>
        <w:spacing w:after="354"/>
      </w:pPr>
      <w:r>
        <w:t xml:space="preserve">This paper introduces the </w:t>
      </w:r>
      <w:r>
        <w:rPr>
          <w:b/>
        </w:rPr>
        <w:t>Generalized Vector Field (GVF) Architecture</w:t>
      </w:r>
      <w:r>
        <w:t xml:space="preserve">—a </w:t>
      </w:r>
      <w:r>
        <w:t xml:space="preserve">unified software-hardware framework backed by U.S. Provisional Patent filings. GVF combines GVF-Orchestrator (a 4-Phase software agent pipeline) with the GVF Engine (a phase-locked sinusoidal threshold envelope </w:t>
      </w:r>
      <w:r>
        <w:rPr>
          <w:i/>
        </w:rPr>
        <w:t>V</w:t>
      </w:r>
      <w:r>
        <w:rPr>
          <w:sz w:val="20"/>
          <w:vertAlign w:val="subscript"/>
        </w:rPr>
        <w:t>th</w:t>
      </w:r>
      <w:r>
        <w:t>(</w:t>
      </w:r>
      <w:r>
        <w:rPr>
          <w:i/>
        </w:rPr>
        <w:t>t</w:t>
      </w:r>
      <w:r>
        <w:t xml:space="preserve">) running on CIM bitlines and microcontroller registers). Together, they enforce a sub-0.01ms physical circuit breaker for AI execution safety while bypassing up to 97.00% of redundant matrix FLOPs to keep enterprise deployments strictly within their hardware and PPA power envelopes. </w:t>
      </w:r>
    </w:p>
    <w:p w14:paraId="6C82066A" w14:textId="77777777" w:rsidR="009C5D6D" w:rsidRDefault="00901040">
      <w:pPr>
        <w:pStyle w:val="Heading1"/>
        <w:spacing w:after="198"/>
        <w:ind w:left="385" w:hanging="400"/>
      </w:pPr>
      <w:r>
        <w:t xml:space="preserve">THE DUAL </w:t>
      </w:r>
      <w:r>
        <w:t xml:space="preserve">INFRASTRUCTURE CRISIS </w:t>
      </w:r>
    </w:p>
    <w:p w14:paraId="533CFC7B" w14:textId="77777777" w:rsidR="009C5D6D" w:rsidRDefault="00901040">
      <w:pPr>
        <w:spacing w:after="250" w:line="259" w:lineRule="auto"/>
        <w:ind w:left="60" w:firstLine="0"/>
      </w:pPr>
      <w:r>
        <w:rPr>
          <w:rFonts w:ascii="Calibri" w:eastAsia="Calibri" w:hAnsi="Calibri" w:cs="Calibri"/>
          <w:noProof/>
        </w:rPr>
        <mc:AlternateContent>
          <mc:Choice Requires="wpg">
            <w:drawing>
              <wp:inline distT="0" distB="0" distL="0" distR="0" wp14:anchorId="7D7C830A" wp14:editId="2CBC0E12">
                <wp:extent cx="5867400" cy="12700"/>
                <wp:effectExtent l="0" t="0" r="0" b="0"/>
                <wp:docPr id="11378" name="Group 1137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05" name="Shape 40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78" style="width:462pt;height:1pt;mso-position-horizontal-relative:char;mso-position-vertical-relative:line" coordsize="58674,127">
                <v:shape id="Shape 405" style="position:absolute;width:58674;height:0;left:0;top:0;" coordsize="5867400,0" path="m0,0l5867400,0">
                  <v:stroke weight="1pt" endcap="flat" joinstyle="miter" miterlimit="10" on="true" color="#888888"/>
                  <v:fill on="false" color="#000000" opacity="0"/>
                </v:shape>
              </v:group>
            </w:pict>
          </mc:Fallback>
        </mc:AlternateContent>
      </w:r>
    </w:p>
    <w:p w14:paraId="65AECAC8" w14:textId="77777777" w:rsidR="009C5D6D" w:rsidRDefault="00901040">
      <w:pPr>
        <w:pStyle w:val="Heading2"/>
        <w:ind w:left="452" w:hanging="467"/>
      </w:pPr>
      <w:r>
        <w:lastRenderedPageBreak/>
        <w:t xml:space="preserve">Software-Only Guardrail Failure </w:t>
      </w:r>
    </w:p>
    <w:p w14:paraId="7DA63B29" w14:textId="77777777" w:rsidR="009C5D6D" w:rsidRDefault="00901040">
      <w:pPr>
        <w:spacing w:after="293"/>
      </w:pPr>
      <w:r>
        <w:t xml:space="preserve">Traditional multi-agent systems and safety wrappers evaluate model outputs after floating-point matrix operations have executed. When an AI agent enters an unconstrained reasoning loop, encounters tool collisions, or experiences adversarial prompt injection (entropy </w:t>
      </w:r>
      <w:r>
        <w:rPr>
          <w:i/>
        </w:rPr>
        <w:t>H</w:t>
      </w:r>
      <w:r>
        <w:t>(</w:t>
      </w:r>
      <w:r>
        <w:rPr>
          <w:i/>
        </w:rPr>
        <w:t>x</w:t>
      </w:r>
      <w:r>
        <w:t xml:space="preserve">) ≥ 6.73), software-only guardrails are frequently bypassed or stall processing pipelines. </w:t>
      </w:r>
    </w:p>
    <w:p w14:paraId="6D38924C" w14:textId="77777777" w:rsidR="009C5D6D" w:rsidRDefault="00901040">
      <w:pPr>
        <w:pStyle w:val="Heading2"/>
        <w:ind w:left="452" w:hanging="467"/>
      </w:pPr>
      <w:r>
        <w:t xml:space="preserve">The von Neumann &amp; PPA Power Wall </w:t>
      </w:r>
    </w:p>
    <w:p w14:paraId="2E5157EF" w14:textId="77777777" w:rsidR="009C5D6D" w:rsidRDefault="00901040">
      <w:pPr>
        <w:spacing w:after="29" w:line="259" w:lineRule="auto"/>
      </w:pPr>
      <w:r>
        <w:t xml:space="preserve">Modern AI accelerators spend up to 80% of their dynamic </w:t>
      </w:r>
      <w:r>
        <w:t xml:space="preserve">power multiplying near-zero activation vectors and shuttling weights across memory buses. As data centers push against utility-mandated Power Purchase Agreements (PPAs), uncontrolled computational waste directly threatens grid stability. </w:t>
      </w:r>
    </w:p>
    <w:tbl>
      <w:tblPr>
        <w:tblStyle w:val="TableGrid"/>
        <w:tblW w:w="9360" w:type="dxa"/>
        <w:tblInd w:w="8" w:type="dxa"/>
        <w:tblCellMar>
          <w:top w:w="211" w:type="dxa"/>
          <w:left w:w="140" w:type="dxa"/>
          <w:bottom w:w="0" w:type="dxa"/>
          <w:right w:w="115" w:type="dxa"/>
        </w:tblCellMar>
        <w:tblLook w:val="04A0" w:firstRow="1" w:lastRow="0" w:firstColumn="1" w:lastColumn="0" w:noHBand="0" w:noVBand="1"/>
      </w:tblPr>
      <w:tblGrid>
        <w:gridCol w:w="3122"/>
        <w:gridCol w:w="3120"/>
        <w:gridCol w:w="3118"/>
      </w:tblGrid>
      <w:tr w:rsidR="009C5D6D" w14:paraId="7279215D" w14:textId="77777777">
        <w:trPr>
          <w:trHeight w:val="1060"/>
        </w:trPr>
        <w:tc>
          <w:tcPr>
            <w:tcW w:w="3123" w:type="dxa"/>
            <w:tcBorders>
              <w:top w:val="single" w:sz="8" w:space="0" w:color="CBD5E1"/>
              <w:left w:val="single" w:sz="8" w:space="0" w:color="CBD5E1"/>
              <w:bottom w:val="single" w:sz="8" w:space="0" w:color="CBD5E1"/>
              <w:right w:val="single" w:sz="8" w:space="0" w:color="CBD5E1"/>
            </w:tcBorders>
            <w:shd w:val="clear" w:color="auto" w:fill="F1F5F9"/>
          </w:tcPr>
          <w:p w14:paraId="01A73C14" w14:textId="77777777" w:rsidR="009C5D6D" w:rsidRDefault="00901040">
            <w:pPr>
              <w:spacing w:after="0" w:line="259" w:lineRule="auto"/>
              <w:ind w:left="3" w:firstLine="0"/>
            </w:pPr>
            <w:r>
              <w:t xml:space="preserve">Architecture Layer </w:t>
            </w:r>
          </w:p>
        </w:tc>
        <w:tc>
          <w:tcPr>
            <w:tcW w:w="3120" w:type="dxa"/>
            <w:tcBorders>
              <w:top w:val="single" w:sz="8" w:space="0" w:color="CBD5E1"/>
              <w:left w:val="single" w:sz="8" w:space="0" w:color="CBD5E1"/>
              <w:bottom w:val="single" w:sz="8" w:space="0" w:color="CBD5E1"/>
              <w:right w:val="single" w:sz="8" w:space="0" w:color="CBD5E1"/>
            </w:tcBorders>
            <w:shd w:val="clear" w:color="auto" w:fill="F1F5F9"/>
          </w:tcPr>
          <w:p w14:paraId="07B86CFD" w14:textId="77777777" w:rsidR="009C5D6D" w:rsidRDefault="00901040">
            <w:pPr>
              <w:spacing w:after="0" w:line="259" w:lineRule="auto"/>
              <w:ind w:left="0" w:firstLine="0"/>
            </w:pPr>
            <w:r>
              <w:t xml:space="preserve">Execution Pathway </w:t>
            </w:r>
          </w:p>
        </w:tc>
        <w:tc>
          <w:tcPr>
            <w:tcW w:w="3118" w:type="dxa"/>
            <w:tcBorders>
              <w:top w:val="single" w:sz="8" w:space="0" w:color="CBD5E1"/>
              <w:left w:val="single" w:sz="8" w:space="0" w:color="CBD5E1"/>
              <w:bottom w:val="single" w:sz="8" w:space="0" w:color="CBD5E1"/>
              <w:right w:val="single" w:sz="8" w:space="0" w:color="CBD5E1"/>
            </w:tcBorders>
            <w:shd w:val="clear" w:color="auto" w:fill="F1F5F9"/>
            <w:vAlign w:val="center"/>
          </w:tcPr>
          <w:p w14:paraId="4939CF59" w14:textId="77777777" w:rsidR="009C5D6D" w:rsidRDefault="00901040">
            <w:pPr>
              <w:spacing w:after="207" w:line="259" w:lineRule="auto"/>
              <w:ind w:left="0" w:firstLine="0"/>
            </w:pPr>
            <w:r>
              <w:t xml:space="preserve">Safety &amp; Efficiency Impact </w:t>
            </w:r>
          </w:p>
          <w:p w14:paraId="49D45978" w14:textId="77777777" w:rsidR="009C5D6D" w:rsidRDefault="00901040">
            <w:pPr>
              <w:spacing w:after="0" w:line="259" w:lineRule="auto"/>
              <w:ind w:left="0" w:firstLine="0"/>
            </w:pPr>
            <w:r>
              <w:t xml:space="preserve">  </w:t>
            </w:r>
          </w:p>
        </w:tc>
      </w:tr>
      <w:tr w:rsidR="009C5D6D" w14:paraId="50CF3ED9" w14:textId="77777777">
        <w:trPr>
          <w:trHeight w:val="1460"/>
        </w:trPr>
        <w:tc>
          <w:tcPr>
            <w:tcW w:w="3123" w:type="dxa"/>
            <w:tcBorders>
              <w:top w:val="single" w:sz="8" w:space="0" w:color="CBD5E1"/>
              <w:left w:val="single" w:sz="8" w:space="0" w:color="CBD5E1"/>
              <w:bottom w:val="single" w:sz="8" w:space="0" w:color="CBD5E1"/>
              <w:right w:val="single" w:sz="8" w:space="0" w:color="CBD5E1"/>
            </w:tcBorders>
          </w:tcPr>
          <w:p w14:paraId="2C01E5A5" w14:textId="77777777" w:rsidR="009C5D6D" w:rsidRDefault="00901040">
            <w:pPr>
              <w:spacing w:after="0" w:line="259" w:lineRule="auto"/>
              <w:ind w:left="3" w:firstLine="0"/>
            </w:pPr>
            <w:r>
              <w:rPr>
                <w:b/>
              </w:rPr>
              <w:t xml:space="preserve">Traditional AI Safety Stack </w:t>
            </w:r>
          </w:p>
        </w:tc>
        <w:tc>
          <w:tcPr>
            <w:tcW w:w="3120" w:type="dxa"/>
            <w:tcBorders>
              <w:top w:val="single" w:sz="8" w:space="0" w:color="CBD5E1"/>
              <w:left w:val="single" w:sz="8" w:space="0" w:color="CBD5E1"/>
              <w:bottom w:val="single" w:sz="8" w:space="0" w:color="CBD5E1"/>
              <w:right w:val="single" w:sz="8" w:space="0" w:color="CBD5E1"/>
            </w:tcBorders>
          </w:tcPr>
          <w:p w14:paraId="5FD3C454" w14:textId="77777777" w:rsidR="009C5D6D" w:rsidRDefault="00901040">
            <w:pPr>
              <w:spacing w:after="57" w:line="259" w:lineRule="auto"/>
              <w:ind w:left="0" w:firstLine="0"/>
            </w:pPr>
            <w:r>
              <w:t xml:space="preserve">User Input → Dense Matrix </w:t>
            </w:r>
          </w:p>
          <w:p w14:paraId="5A1FBF1A" w14:textId="77777777" w:rsidR="009C5D6D" w:rsidRDefault="00901040">
            <w:pPr>
              <w:spacing w:after="57" w:line="259" w:lineRule="auto"/>
              <w:ind w:left="0" w:firstLine="0"/>
            </w:pPr>
            <w:r>
              <w:t xml:space="preserve">Calculation (100% Power) </w:t>
            </w:r>
          </w:p>
          <w:p w14:paraId="0EF33A90" w14:textId="77777777" w:rsidR="009C5D6D" w:rsidRDefault="00901040">
            <w:pPr>
              <w:spacing w:after="0" w:line="259" w:lineRule="auto"/>
              <w:ind w:left="0" w:firstLine="0"/>
            </w:pPr>
            <w:r>
              <w:t xml:space="preserve">→ Post-Hoc API Check </w:t>
            </w:r>
          </w:p>
        </w:tc>
        <w:tc>
          <w:tcPr>
            <w:tcW w:w="3118" w:type="dxa"/>
            <w:tcBorders>
              <w:top w:val="single" w:sz="8" w:space="0" w:color="CBD5E1"/>
              <w:left w:val="single" w:sz="8" w:space="0" w:color="CBD5E1"/>
              <w:bottom w:val="single" w:sz="8" w:space="0" w:color="CBD5E1"/>
              <w:right w:val="single" w:sz="8" w:space="0" w:color="CBD5E1"/>
            </w:tcBorders>
          </w:tcPr>
          <w:p w14:paraId="241A724B" w14:textId="77777777" w:rsidR="009C5D6D" w:rsidRDefault="00901040">
            <w:pPr>
              <w:spacing w:after="57" w:line="259" w:lineRule="auto"/>
              <w:ind w:left="0" w:firstLine="0"/>
            </w:pPr>
            <w:r>
              <w:t xml:space="preserve">High Latency (&gt;100ms), </w:t>
            </w:r>
          </w:p>
          <w:p w14:paraId="259F61C4" w14:textId="77777777" w:rsidR="009C5D6D" w:rsidRDefault="00901040">
            <w:pPr>
              <w:spacing w:after="57" w:line="259" w:lineRule="auto"/>
              <w:ind w:left="0" w:firstLine="0"/>
            </w:pPr>
            <w:r>
              <w:t xml:space="preserve">Bypassed Guardrails, </w:t>
            </w:r>
          </w:p>
          <w:p w14:paraId="6E7670B8" w14:textId="77777777" w:rsidR="009C5D6D" w:rsidRDefault="00901040">
            <w:pPr>
              <w:spacing w:after="0" w:line="259" w:lineRule="auto"/>
              <w:ind w:left="0" w:firstLine="0"/>
            </w:pPr>
            <w:r>
              <w:t xml:space="preserve">Unconstrained FLOP Waste </w:t>
            </w:r>
          </w:p>
        </w:tc>
      </w:tr>
      <w:tr w:rsidR="009C5D6D" w14:paraId="00131AB3" w14:textId="77777777">
        <w:trPr>
          <w:trHeight w:val="2440"/>
        </w:trPr>
        <w:tc>
          <w:tcPr>
            <w:tcW w:w="3123" w:type="dxa"/>
            <w:tcBorders>
              <w:top w:val="single" w:sz="8" w:space="0" w:color="CBD5E1"/>
              <w:left w:val="single" w:sz="8" w:space="0" w:color="CBD5E1"/>
              <w:bottom w:val="single" w:sz="8" w:space="0" w:color="CBD5E1"/>
              <w:right w:val="single" w:sz="8" w:space="0" w:color="CBD5E1"/>
            </w:tcBorders>
            <w:shd w:val="clear" w:color="auto" w:fill="F8FAFC"/>
          </w:tcPr>
          <w:p w14:paraId="39AAFC59" w14:textId="77777777" w:rsidR="009C5D6D" w:rsidRDefault="00901040">
            <w:pPr>
              <w:spacing w:after="57" w:line="259" w:lineRule="auto"/>
              <w:ind w:left="3" w:firstLine="0"/>
            </w:pPr>
            <w:r>
              <w:rPr>
                <w:b/>
              </w:rPr>
              <w:t xml:space="preserve">GVF Dual-Layer </w:t>
            </w:r>
          </w:p>
          <w:p w14:paraId="6F9FC349" w14:textId="77777777" w:rsidR="009C5D6D" w:rsidRDefault="00901040">
            <w:pPr>
              <w:spacing w:after="0" w:line="259" w:lineRule="auto"/>
              <w:ind w:left="3" w:firstLine="0"/>
            </w:pPr>
            <w:r>
              <w:rPr>
                <w:b/>
              </w:rPr>
              <w:t xml:space="preserve">Enforcement Stack </w:t>
            </w:r>
          </w:p>
        </w:tc>
        <w:tc>
          <w:tcPr>
            <w:tcW w:w="3120" w:type="dxa"/>
            <w:tcBorders>
              <w:top w:val="single" w:sz="8" w:space="0" w:color="CBD5E1"/>
              <w:left w:val="single" w:sz="8" w:space="0" w:color="CBD5E1"/>
              <w:bottom w:val="single" w:sz="8" w:space="0" w:color="CBD5E1"/>
              <w:right w:val="single" w:sz="8" w:space="0" w:color="CBD5E1"/>
            </w:tcBorders>
            <w:shd w:val="clear" w:color="auto" w:fill="F8FAFC"/>
          </w:tcPr>
          <w:p w14:paraId="5F13C95E" w14:textId="77777777" w:rsidR="009C5D6D" w:rsidRDefault="00901040">
            <w:pPr>
              <w:spacing w:after="57" w:line="259" w:lineRule="auto"/>
              <w:ind w:left="0" w:firstLine="0"/>
            </w:pPr>
            <w:r>
              <w:t xml:space="preserve">User Input → </w:t>
            </w:r>
          </w:p>
          <w:p w14:paraId="1521131D" w14:textId="77777777" w:rsidR="009C5D6D" w:rsidRDefault="00901040">
            <w:pPr>
              <w:spacing w:after="57" w:line="259" w:lineRule="auto"/>
              <w:ind w:left="0" w:firstLine="0"/>
            </w:pPr>
            <w:r>
              <w:t xml:space="preserve">GVF-Orchestrator </w:t>
            </w:r>
          </w:p>
          <w:p w14:paraId="30E6EB98" w14:textId="77777777" w:rsidR="009C5D6D" w:rsidRDefault="00901040">
            <w:pPr>
              <w:spacing w:after="57" w:line="259" w:lineRule="auto"/>
              <w:ind w:left="0" w:firstLine="0"/>
            </w:pPr>
            <w:r>
              <w:t xml:space="preserve">(DAG/Tool Check) → GVF </w:t>
            </w:r>
          </w:p>
          <w:p w14:paraId="25E8F891" w14:textId="77777777" w:rsidR="009C5D6D" w:rsidRDefault="00901040">
            <w:pPr>
              <w:spacing w:after="57" w:line="259" w:lineRule="auto"/>
              <w:ind w:left="0" w:firstLine="0"/>
            </w:pPr>
            <w:r>
              <w:t xml:space="preserve">Engine (Sub-0.01ms </w:t>
            </w:r>
          </w:p>
          <w:p w14:paraId="75949E0D" w14:textId="77777777" w:rsidR="009C5D6D" w:rsidRDefault="00901040">
            <w:pPr>
              <w:spacing w:after="57" w:line="259" w:lineRule="auto"/>
              <w:ind w:left="0" w:firstLine="0"/>
            </w:pPr>
            <w:r>
              <w:t xml:space="preserve">Entropy Breaker) → Gated </w:t>
            </w:r>
          </w:p>
          <w:p w14:paraId="61804E95" w14:textId="77777777" w:rsidR="009C5D6D" w:rsidRDefault="00901040">
            <w:pPr>
              <w:spacing w:after="0" w:line="259" w:lineRule="auto"/>
              <w:ind w:left="0" w:firstLine="0"/>
            </w:pPr>
            <w:r>
              <w:t xml:space="preserve">Matrix Execution </w:t>
            </w:r>
          </w:p>
        </w:tc>
        <w:tc>
          <w:tcPr>
            <w:tcW w:w="3118" w:type="dxa"/>
            <w:tcBorders>
              <w:top w:val="single" w:sz="8" w:space="0" w:color="CBD5E1"/>
              <w:left w:val="single" w:sz="8" w:space="0" w:color="CBD5E1"/>
              <w:bottom w:val="single" w:sz="8" w:space="0" w:color="CBD5E1"/>
              <w:right w:val="single" w:sz="8" w:space="0" w:color="CBD5E1"/>
            </w:tcBorders>
            <w:shd w:val="clear" w:color="auto" w:fill="F8FAFC"/>
          </w:tcPr>
          <w:p w14:paraId="12539FB2" w14:textId="77777777" w:rsidR="009C5D6D" w:rsidRDefault="00901040">
            <w:pPr>
              <w:spacing w:after="57" w:line="259" w:lineRule="auto"/>
              <w:ind w:left="0" w:firstLine="0"/>
            </w:pPr>
            <w:r>
              <w:t xml:space="preserve">Sub-0.01ms Circuit Breaker, </w:t>
            </w:r>
          </w:p>
          <w:p w14:paraId="2D2222EB" w14:textId="77777777" w:rsidR="009C5D6D" w:rsidRDefault="00901040">
            <w:pPr>
              <w:spacing w:after="57" w:line="259" w:lineRule="auto"/>
              <w:ind w:left="0" w:firstLine="0"/>
            </w:pPr>
            <w:r>
              <w:t xml:space="preserve">3%–25% Power Footprint, </w:t>
            </w:r>
          </w:p>
          <w:p w14:paraId="11A24E24" w14:textId="77777777" w:rsidR="009C5D6D" w:rsidRDefault="00901040">
            <w:pPr>
              <w:spacing w:after="57" w:line="259" w:lineRule="auto"/>
              <w:ind w:left="0" w:firstLine="0"/>
            </w:pPr>
            <w:r>
              <w:t xml:space="preserve">Hardware-Level </w:t>
            </w:r>
          </w:p>
          <w:p w14:paraId="1A9C7A78" w14:textId="77777777" w:rsidR="009C5D6D" w:rsidRDefault="00901040">
            <w:pPr>
              <w:spacing w:after="0" w:line="259" w:lineRule="auto"/>
              <w:ind w:left="0" w:firstLine="0"/>
            </w:pPr>
            <w:r>
              <w:t xml:space="preserve">Determinism </w:t>
            </w:r>
          </w:p>
        </w:tc>
      </w:tr>
    </w:tbl>
    <w:p w14:paraId="77F3F4FA" w14:textId="77777777" w:rsidR="009C5D6D" w:rsidRDefault="00901040">
      <w:pPr>
        <w:pStyle w:val="Heading1"/>
        <w:ind w:left="385" w:hanging="400"/>
      </w:pPr>
      <w:r>
        <w:t xml:space="preserve">THE GVF UNIFIED ARCHITECTURE </w:t>
      </w:r>
    </w:p>
    <w:p w14:paraId="650A249D" w14:textId="77777777" w:rsidR="009C5D6D" w:rsidRDefault="00901040">
      <w:pPr>
        <w:spacing w:after="201" w:line="259" w:lineRule="auto"/>
        <w:ind w:left="240" w:firstLine="0"/>
      </w:pPr>
      <w:r>
        <w:rPr>
          <w:rFonts w:ascii="Calibri" w:eastAsia="Calibri" w:hAnsi="Calibri" w:cs="Calibri"/>
          <w:noProof/>
        </w:rPr>
        <mc:AlternateContent>
          <mc:Choice Requires="wpg">
            <w:drawing>
              <wp:inline distT="0" distB="0" distL="0" distR="0" wp14:anchorId="457490B2" wp14:editId="23DFD36F">
                <wp:extent cx="5638800" cy="12700"/>
                <wp:effectExtent l="0" t="0" r="0" b="0"/>
                <wp:docPr id="11881" name="Group 11881"/>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769" name="Shape 769"/>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81" style="width:444pt;height:1pt;mso-position-horizontal-relative:char;mso-position-vertical-relative:line" coordsize="56388,127">
                <v:shape id="Shape 769" style="position:absolute;width:56388;height:0;left:0;top:0;" coordsize="5638800,0" path="m0,0l5638800,0">
                  <v:stroke weight="1pt" endcap="flat" joinstyle="miter" miterlimit="10" on="true" color="#888888"/>
                  <v:fill on="false" color="#000000" opacity="0"/>
                </v:shape>
              </v:group>
            </w:pict>
          </mc:Fallback>
        </mc:AlternateContent>
      </w:r>
    </w:p>
    <w:p w14:paraId="512B8402" w14:textId="77777777" w:rsidR="009C5D6D" w:rsidRDefault="00901040">
      <w:pPr>
        <w:spacing w:after="57" w:line="259" w:lineRule="auto"/>
        <w:ind w:left="175"/>
      </w:pPr>
      <w:proofErr w:type="gramStart"/>
      <w:r>
        <w:rPr>
          <w:shd w:val="clear" w:color="auto" w:fill="F8FAFC"/>
        </w:rPr>
        <w:t>+-</w:t>
      </w:r>
      <w:proofErr w:type="gramEnd"/>
      <w:r>
        <w:rPr>
          <w:shd w:val="clear" w:color="auto" w:fill="F8FAFC"/>
        </w:rPr>
        <w:t>----------------------------------------------------------------------------------+</w:t>
      </w:r>
      <w:r>
        <w:t xml:space="preserve"> </w:t>
      </w:r>
    </w:p>
    <w:p w14:paraId="0D742CED" w14:textId="77777777" w:rsidR="009C5D6D" w:rsidRDefault="00901040">
      <w:pPr>
        <w:spacing w:after="57" w:line="259" w:lineRule="auto"/>
        <w:ind w:left="175"/>
      </w:pPr>
      <w:r>
        <w:rPr>
          <w:shd w:val="clear" w:color="auto" w:fill="F8FAFC"/>
        </w:rPr>
        <w:t>| GVF-ORCHESTRATOR (SOFTWARE)                                                      |</w:t>
      </w:r>
      <w:r>
        <w:t xml:space="preserve"> </w:t>
      </w:r>
    </w:p>
    <w:p w14:paraId="3CEC3EAA" w14:textId="77777777" w:rsidR="009C5D6D" w:rsidRDefault="00901040">
      <w:pPr>
        <w:spacing w:after="57" w:line="259" w:lineRule="auto"/>
        <w:ind w:left="175"/>
      </w:pPr>
      <w:r>
        <w:rPr>
          <w:shd w:val="clear" w:color="auto" w:fill="F8FAFC"/>
        </w:rPr>
        <w:t>| - Phase 1: Directed Acyclic Graph (DAG) Execution Sorting</w:t>
      </w:r>
      <w:r>
        <w:rPr>
          <w:shd w:val="clear" w:color="auto" w:fill="F8FAFC"/>
        </w:rPr>
        <w:t xml:space="preserve">                         |</w:t>
      </w:r>
      <w:r>
        <w:t xml:space="preserve"> </w:t>
      </w:r>
    </w:p>
    <w:p w14:paraId="4E2CCCEF" w14:textId="77777777" w:rsidR="009C5D6D" w:rsidRDefault="00901040">
      <w:pPr>
        <w:spacing w:after="57" w:line="259" w:lineRule="auto"/>
        <w:ind w:left="175"/>
      </w:pPr>
      <w:r>
        <w:rPr>
          <w:shd w:val="clear" w:color="auto" w:fill="F8FAFC"/>
        </w:rPr>
        <w:t>| - Phase 2: Dynamic Skill Tool Namespacing &amp; Collision Avoidance                   |</w:t>
      </w:r>
      <w:r>
        <w:t xml:space="preserve"> </w:t>
      </w:r>
    </w:p>
    <w:p w14:paraId="27BECA1D" w14:textId="77777777" w:rsidR="009C5D6D" w:rsidRDefault="00901040">
      <w:pPr>
        <w:spacing w:after="57" w:line="259" w:lineRule="auto"/>
        <w:ind w:left="175"/>
      </w:pPr>
      <w:r>
        <w:rPr>
          <w:shd w:val="clear" w:color="auto" w:fill="F8FAFC"/>
        </w:rPr>
        <w:t>| - Phase 3: Context-Window Optimization &amp; SHA-256 Deduplication                   |</w:t>
      </w:r>
      <w:r>
        <w:t xml:space="preserve"> </w:t>
      </w:r>
    </w:p>
    <w:p w14:paraId="5D5C737B" w14:textId="77777777" w:rsidR="009C5D6D" w:rsidRDefault="00901040">
      <w:pPr>
        <w:spacing w:after="57" w:line="259" w:lineRule="auto"/>
        <w:ind w:left="175"/>
      </w:pPr>
      <w:r>
        <w:rPr>
          <w:shd w:val="clear" w:color="auto" w:fill="F8FAFC"/>
        </w:rPr>
        <w:t>| - Phase 4: Dry-Run Sandboxing &amp; Rollback Engine                                  |</w:t>
      </w:r>
      <w:r>
        <w:t xml:space="preserve"> </w:t>
      </w:r>
    </w:p>
    <w:p w14:paraId="3EC71152" w14:textId="77777777" w:rsidR="009C5D6D" w:rsidRDefault="00901040">
      <w:pPr>
        <w:spacing w:after="57" w:line="259" w:lineRule="auto"/>
        <w:ind w:left="175"/>
      </w:pPr>
      <w:proofErr w:type="gramStart"/>
      <w:r>
        <w:rPr>
          <w:shd w:val="clear" w:color="auto" w:fill="F8FAFC"/>
        </w:rPr>
        <w:lastRenderedPageBreak/>
        <w:t>+-</w:t>
      </w:r>
      <w:proofErr w:type="gramEnd"/>
      <w:r>
        <w:rPr>
          <w:shd w:val="clear" w:color="auto" w:fill="F8FAFC"/>
        </w:rPr>
        <w:t>----------------------------------------------------------------------------------+</w:t>
      </w:r>
      <w:r>
        <w:t xml:space="preserve"> </w:t>
      </w:r>
    </w:p>
    <w:p w14:paraId="75F0563F" w14:textId="77777777" w:rsidR="009C5D6D" w:rsidRDefault="00901040">
      <w:pPr>
        <w:spacing w:after="106" w:line="259" w:lineRule="auto"/>
        <w:ind w:left="175" w:right="6443"/>
      </w:pPr>
      <w:r>
        <w:rPr>
          <w:shd w:val="clear" w:color="auto" w:fill="F8FAFC"/>
        </w:rPr>
        <w:t xml:space="preserve">                                         </w:t>
      </w:r>
      <w:proofErr w:type="gramStart"/>
      <w:r>
        <w:rPr>
          <w:shd w:val="clear" w:color="auto" w:fill="F8FAFC"/>
        </w:rPr>
        <w:t>|</w:t>
      </w:r>
      <w:r>
        <w:t xml:space="preserve"> </w:t>
      </w:r>
      <w:r>
        <w:rPr>
          <w:shd w:val="clear" w:color="auto" w:fill="F8FAFC"/>
        </w:rPr>
        <w:t xml:space="preserve">                                         v</w:t>
      </w:r>
      <w:r>
        <w:t xml:space="preserve"> </w:t>
      </w:r>
      <w:r>
        <w:rPr>
          <w:shd w:val="clear" w:color="auto" w:fill="F8FAFC"/>
        </w:rPr>
        <w:t>+</w:t>
      </w:r>
      <w:proofErr w:type="gramEnd"/>
      <w:r>
        <w:rPr>
          <w:shd w:val="clear" w:color="auto" w:fill="F8FAFC"/>
        </w:rPr>
        <w:t>-----------------------------------------------------------------------------------+</w:t>
      </w:r>
      <w:r>
        <w:t xml:space="preserve"> </w:t>
      </w:r>
    </w:p>
    <w:p w14:paraId="20299877" w14:textId="77777777" w:rsidR="009C5D6D" w:rsidRDefault="00901040">
      <w:pPr>
        <w:spacing w:after="57" w:line="259" w:lineRule="auto"/>
        <w:ind w:left="175"/>
      </w:pPr>
      <w:r>
        <w:rPr>
          <w:shd w:val="clear" w:color="auto" w:fill="F8FAFC"/>
        </w:rPr>
        <w:t>| GVF SILICON / FIRMWARE ENGINE                                                     |</w:t>
      </w:r>
      <w:r>
        <w:t xml:space="preserve"> </w:t>
      </w:r>
    </w:p>
    <w:p w14:paraId="76CABE28" w14:textId="77777777" w:rsidR="009C5D6D" w:rsidRDefault="00901040">
      <w:pPr>
        <w:spacing w:after="57" w:line="259" w:lineRule="auto"/>
        <w:ind w:left="175"/>
      </w:pPr>
      <w:r>
        <w:rPr>
          <w:shd w:val="clear" w:color="auto" w:fill="F8FAFC"/>
        </w:rPr>
        <w:t>| - Phase-Locked Envelope Equation: V_th(t) = V_base * |sin(φ(t))| + V_offset        |</w:t>
      </w:r>
      <w:r>
        <w:t xml:space="preserve"> </w:t>
      </w:r>
    </w:p>
    <w:p w14:paraId="5AEDF5D2" w14:textId="77777777" w:rsidR="009C5D6D" w:rsidRDefault="00901040">
      <w:pPr>
        <w:spacing w:after="57" w:line="259" w:lineRule="auto"/>
        <w:ind w:left="175"/>
      </w:pPr>
      <w:r>
        <w:rPr>
          <w:shd w:val="clear" w:color="auto" w:fill="F8FAFC"/>
        </w:rPr>
        <w:t>| - Register-Level Interrupt (C-Firmware) / Bitline CIM Comparator                   |</w:t>
      </w:r>
      <w:r>
        <w:t xml:space="preserve"> </w:t>
      </w:r>
    </w:p>
    <w:p w14:paraId="75FC6BB4" w14:textId="77777777" w:rsidR="009C5D6D" w:rsidRDefault="00901040">
      <w:pPr>
        <w:spacing w:after="57" w:line="259" w:lineRule="auto"/>
        <w:ind w:left="175"/>
      </w:pPr>
      <w:r>
        <w:rPr>
          <w:shd w:val="clear" w:color="auto" w:fill="F8FAFC"/>
        </w:rPr>
        <w:t>| - Sub-0.01ms Entropy Circuit Breaker (Trips if Entropy H(x) &gt;= 6.73)              |</w:t>
      </w:r>
      <w:r>
        <w:t xml:space="preserve"> </w:t>
      </w:r>
    </w:p>
    <w:p w14:paraId="6FBCC03D" w14:textId="77777777" w:rsidR="009C5D6D" w:rsidRDefault="00901040">
      <w:pPr>
        <w:spacing w:after="57" w:line="259" w:lineRule="auto"/>
        <w:ind w:left="175"/>
      </w:pPr>
      <w:r>
        <w:rPr>
          <w:shd w:val="clear" w:color="auto" w:fill="F8FAFC"/>
        </w:rPr>
        <w:t>| - Physical Power Cut: Integrated Clock Gating (ICG) &amp; PMOS Rail Shutoff</w:t>
      </w:r>
      <w:r>
        <w:rPr>
          <w:shd w:val="clear" w:color="auto" w:fill="F8FAFC"/>
        </w:rPr>
        <w:t xml:space="preserve">          |</w:t>
      </w:r>
      <w:r>
        <w:t xml:space="preserve"> </w:t>
      </w:r>
    </w:p>
    <w:p w14:paraId="3727DB12" w14:textId="77777777" w:rsidR="009C5D6D" w:rsidRDefault="00901040">
      <w:pPr>
        <w:spacing w:after="527" w:line="259" w:lineRule="auto"/>
        <w:ind w:left="175" w:right="2782"/>
      </w:pPr>
      <w:proofErr w:type="gramStart"/>
      <w:r>
        <w:rPr>
          <w:shd w:val="clear" w:color="auto" w:fill="F8FAFC"/>
        </w:rPr>
        <w:t>+-</w:t>
      </w:r>
      <w:proofErr w:type="gramEnd"/>
      <w:r>
        <w:rPr>
          <w:shd w:val="clear" w:color="auto" w:fill="F8FAFC"/>
        </w:rPr>
        <w:t>----------------------------------------------------------------------------------+</w:t>
      </w:r>
      <w:r>
        <w:t xml:space="preserve">  </w:t>
      </w:r>
    </w:p>
    <w:p w14:paraId="0F0C2592" w14:textId="77777777" w:rsidR="009C5D6D" w:rsidRDefault="00901040">
      <w:pPr>
        <w:pStyle w:val="Heading2"/>
        <w:ind w:left="452" w:hanging="467"/>
      </w:pPr>
      <w:r>
        <w:t xml:space="preserve">Top Layer: GVF-Orchestrator (Software) </w:t>
      </w:r>
    </w:p>
    <w:p w14:paraId="600A1852" w14:textId="77777777" w:rsidR="009C5D6D" w:rsidRDefault="00901040">
      <w:pPr>
        <w:spacing w:after="293"/>
      </w:pPr>
      <w:r>
        <w:t xml:space="preserve">GVF-Orchestrator acts as the enterprise middleware layer for multi-agent workflows. It sanitizes agent manifests, eliminates tool collisions through isolated </w:t>
      </w:r>
      <w:proofErr w:type="spellStart"/>
      <w:r>
        <w:t>namespacing</w:t>
      </w:r>
      <w:proofErr w:type="spellEnd"/>
      <w:r>
        <w:t xml:space="preserve">, and prevents context-window bloat before payloads reach the hardware execution layer. </w:t>
      </w:r>
    </w:p>
    <w:p w14:paraId="7E53EA29" w14:textId="77777777" w:rsidR="009C5D6D" w:rsidRDefault="00901040">
      <w:pPr>
        <w:pStyle w:val="Heading2"/>
        <w:ind w:left="452" w:hanging="467"/>
      </w:pPr>
      <w:r>
        <w:t xml:space="preserve">Base Layer: GVF Engine (Hardware/Firmware) </w:t>
      </w:r>
    </w:p>
    <w:p w14:paraId="744B2811" w14:textId="77777777" w:rsidR="009C5D6D" w:rsidRDefault="00901040">
      <w:pPr>
        <w:spacing w:after="173"/>
      </w:pPr>
      <w:r>
        <w:t xml:space="preserve">Formulated in Assignee TCPARTSDIRECT, LLC's Provisional Patent </w:t>
      </w:r>
      <w:r>
        <w:t xml:space="preserve">Application, the GVF Engine evaluates high-dimensional activation vectors against a continuous, phase-locked threshold envelope: </w:t>
      </w:r>
    </w:p>
    <w:p w14:paraId="024D1A14" w14:textId="77777777" w:rsidR="009C5D6D" w:rsidRPr="00941409" w:rsidRDefault="00901040">
      <w:pPr>
        <w:spacing w:after="218" w:line="259" w:lineRule="auto"/>
        <w:ind w:left="4" w:firstLine="0"/>
        <w:jc w:val="center"/>
        <w:rPr>
          <w:lang w:val="fr-FR"/>
        </w:rPr>
      </w:pPr>
      <w:r w:rsidRPr="00941409">
        <w:rPr>
          <w:i/>
          <w:shd w:val="clear" w:color="auto" w:fill="F1F5F9"/>
          <w:lang w:val="fr-FR"/>
        </w:rPr>
        <w:t>V</w:t>
      </w:r>
      <w:r w:rsidRPr="00941409">
        <w:rPr>
          <w:sz w:val="20"/>
          <w:vertAlign w:val="subscript"/>
          <w:lang w:val="fr-FR"/>
        </w:rPr>
        <w:t>th</w:t>
      </w:r>
      <w:r w:rsidRPr="00941409">
        <w:rPr>
          <w:shd w:val="clear" w:color="auto" w:fill="F1F5F9"/>
          <w:lang w:val="fr-FR"/>
        </w:rPr>
        <w:t>(</w:t>
      </w:r>
      <w:r w:rsidRPr="00941409">
        <w:rPr>
          <w:i/>
          <w:shd w:val="clear" w:color="auto" w:fill="F1F5F9"/>
          <w:lang w:val="fr-FR"/>
        </w:rPr>
        <w:t>t</w:t>
      </w:r>
      <w:r w:rsidRPr="00941409">
        <w:rPr>
          <w:shd w:val="clear" w:color="auto" w:fill="F1F5F9"/>
          <w:lang w:val="fr-FR"/>
        </w:rPr>
        <w:t xml:space="preserve">) = </w:t>
      </w:r>
      <w:r w:rsidRPr="00941409">
        <w:rPr>
          <w:i/>
          <w:shd w:val="clear" w:color="auto" w:fill="F1F5F9"/>
          <w:lang w:val="fr-FR"/>
        </w:rPr>
        <w:t>V</w:t>
      </w:r>
      <w:r w:rsidRPr="00941409">
        <w:rPr>
          <w:sz w:val="20"/>
          <w:vertAlign w:val="subscript"/>
          <w:lang w:val="fr-FR"/>
        </w:rPr>
        <w:t>base</w:t>
      </w:r>
      <w:r w:rsidRPr="00941409">
        <w:rPr>
          <w:shd w:val="clear" w:color="auto" w:fill="F1F5F9"/>
          <w:lang w:val="fr-FR"/>
        </w:rPr>
        <w:t xml:space="preserve"> · |sin(</w:t>
      </w:r>
      <w:r>
        <w:rPr>
          <w:shd w:val="clear" w:color="auto" w:fill="F1F5F9"/>
        </w:rPr>
        <w:t>φ</w:t>
      </w:r>
      <w:r w:rsidRPr="00941409">
        <w:rPr>
          <w:shd w:val="clear" w:color="auto" w:fill="F1F5F9"/>
          <w:lang w:val="fr-FR"/>
        </w:rPr>
        <w:t>(</w:t>
      </w:r>
      <w:r w:rsidRPr="00941409">
        <w:rPr>
          <w:i/>
          <w:shd w:val="clear" w:color="auto" w:fill="F1F5F9"/>
          <w:lang w:val="fr-FR"/>
        </w:rPr>
        <w:t>t</w:t>
      </w:r>
      <w:proofErr w:type="gramStart"/>
      <w:r w:rsidRPr="00941409">
        <w:rPr>
          <w:shd w:val="clear" w:color="auto" w:fill="F1F5F9"/>
          <w:lang w:val="fr-FR"/>
        </w:rPr>
        <w:t>))|</w:t>
      </w:r>
      <w:proofErr w:type="gramEnd"/>
      <w:r w:rsidRPr="00941409">
        <w:rPr>
          <w:shd w:val="clear" w:color="auto" w:fill="F1F5F9"/>
          <w:lang w:val="fr-FR"/>
        </w:rPr>
        <w:t xml:space="preserve"> + </w:t>
      </w:r>
      <w:r w:rsidRPr="00941409">
        <w:rPr>
          <w:i/>
          <w:shd w:val="clear" w:color="auto" w:fill="F1F5F9"/>
          <w:lang w:val="fr-FR"/>
        </w:rPr>
        <w:t>V</w:t>
      </w:r>
      <w:r w:rsidRPr="00941409">
        <w:rPr>
          <w:sz w:val="20"/>
          <w:vertAlign w:val="subscript"/>
          <w:lang w:val="fr-FR"/>
        </w:rPr>
        <w:t>base</w:t>
      </w:r>
      <w:r w:rsidRPr="00941409">
        <w:rPr>
          <w:shd w:val="clear" w:color="auto" w:fill="F1F5F9"/>
          <w:lang w:val="fr-FR"/>
        </w:rPr>
        <w:t xml:space="preserve"> · (1.0 - </w:t>
      </w:r>
      <w:r w:rsidRPr="00941409">
        <w:rPr>
          <w:i/>
          <w:shd w:val="clear" w:color="auto" w:fill="F1F5F9"/>
          <w:lang w:val="fr-FR"/>
        </w:rPr>
        <w:t>A</w:t>
      </w:r>
      <w:r w:rsidRPr="00941409">
        <w:rPr>
          <w:sz w:val="20"/>
          <w:vertAlign w:val="subscript"/>
          <w:lang w:val="fr-FR"/>
        </w:rPr>
        <w:t>mod</w:t>
      </w:r>
      <w:r w:rsidRPr="00941409">
        <w:rPr>
          <w:shd w:val="clear" w:color="auto" w:fill="F1F5F9"/>
          <w:lang w:val="fr-FR"/>
        </w:rPr>
        <w:t>)</w:t>
      </w:r>
      <w:r w:rsidRPr="00941409">
        <w:rPr>
          <w:lang w:val="fr-FR"/>
        </w:rPr>
        <w:t xml:space="preserve"> </w:t>
      </w:r>
    </w:p>
    <w:p w14:paraId="62EE1528" w14:textId="77777777" w:rsidR="009C5D6D" w:rsidRDefault="00901040">
      <w:pPr>
        <w:spacing w:after="353"/>
      </w:pPr>
      <w:r>
        <w:t xml:space="preserve">If an activation state or agent execution trajectory exhibits sudden entropy spikes or fails to exceed </w:t>
      </w:r>
      <w:r>
        <w:rPr>
          <w:i/>
        </w:rPr>
        <w:t>V</w:t>
      </w:r>
      <w:r>
        <w:rPr>
          <w:sz w:val="20"/>
          <w:vertAlign w:val="subscript"/>
        </w:rPr>
        <w:t>th</w:t>
      </w:r>
      <w:r>
        <w:t>(</w:t>
      </w:r>
      <w:r>
        <w:rPr>
          <w:i/>
        </w:rPr>
        <w:t>t</w:t>
      </w:r>
      <w:r>
        <w:t xml:space="preserve">), the Gate Control Unit (GCU) immediately drives Integrated Clock Gating (ICG) cells or zero-suppresses tensor coordinates prior to matrix evaluation. </w:t>
      </w:r>
    </w:p>
    <w:p w14:paraId="62AE7998" w14:textId="77777777" w:rsidR="009C5D6D" w:rsidRDefault="00901040">
      <w:pPr>
        <w:pStyle w:val="Heading1"/>
        <w:ind w:left="385" w:hanging="400"/>
      </w:pPr>
      <w:r>
        <w:t xml:space="preserve">EMPIRICAL BENCHMARK VALIDATION </w:t>
      </w:r>
    </w:p>
    <w:p w14:paraId="5A7BB9CC" w14:textId="77777777" w:rsidR="009C5D6D" w:rsidRDefault="00901040">
      <w:pPr>
        <w:spacing w:after="201" w:line="259" w:lineRule="auto"/>
        <w:ind w:left="60" w:firstLine="0"/>
      </w:pPr>
      <w:r>
        <w:rPr>
          <w:rFonts w:ascii="Calibri" w:eastAsia="Calibri" w:hAnsi="Calibri" w:cs="Calibri"/>
          <w:noProof/>
        </w:rPr>
        <mc:AlternateContent>
          <mc:Choice Requires="wpg">
            <w:drawing>
              <wp:inline distT="0" distB="0" distL="0" distR="0" wp14:anchorId="5CBF09D6" wp14:editId="27E93FA5">
                <wp:extent cx="5867400" cy="12700"/>
                <wp:effectExtent l="0" t="0" r="0" b="0"/>
                <wp:docPr id="11458" name="Group 1145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83" name="Shape 128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58" style="width:462pt;height:1pt;mso-position-horizontal-relative:char;mso-position-vertical-relative:line" coordsize="58674,127">
                <v:shape id="Shape 1283" style="position:absolute;width:58674;height:0;left:0;top:0;" coordsize="5867400,0" path="m0,0l5867400,0">
                  <v:stroke weight="1pt" endcap="flat" joinstyle="miter" miterlimit="10" on="true" color="#888888"/>
                  <v:fill on="false" color="#000000" opacity="0"/>
                </v:shape>
              </v:group>
            </w:pict>
          </mc:Fallback>
        </mc:AlternateContent>
      </w:r>
    </w:p>
    <w:p w14:paraId="5793B16E" w14:textId="77777777" w:rsidR="009C5D6D" w:rsidRDefault="00901040">
      <w:r>
        <w:t xml:space="preserve">Empirical trials conducted across </w:t>
      </w:r>
      <w:r>
        <w:t xml:space="preserve">electrical power oscillography streams and 4,096-dimensional LLM latent workspaces demonstrate the execution efficiency and safety containment of the system: </w:t>
      </w:r>
    </w:p>
    <w:p w14:paraId="580ABF7F" w14:textId="77777777" w:rsidR="009C5D6D" w:rsidRDefault="00901040">
      <w:pPr>
        <w:numPr>
          <w:ilvl w:val="0"/>
          <w:numId w:val="1"/>
        </w:numPr>
        <w:ind w:hanging="360"/>
      </w:pPr>
      <w:r>
        <w:rPr>
          <w:b/>
        </w:rPr>
        <w:t>Latent Compute Reduction:</w:t>
      </w:r>
      <w:r>
        <w:t xml:space="preserve"> Up to 97.00% compute load reduction (bypassing 970 out of 1,000 heavy matrix steps) with a 9.85x native execution speedup in continuous reasoning spaces (J-Space). </w:t>
      </w:r>
    </w:p>
    <w:p w14:paraId="2F61529D" w14:textId="77777777" w:rsidR="009C5D6D" w:rsidRDefault="00901040">
      <w:pPr>
        <w:numPr>
          <w:ilvl w:val="0"/>
          <w:numId w:val="1"/>
        </w:numPr>
        <w:ind w:hanging="360"/>
      </w:pPr>
      <w:r>
        <w:rPr>
          <w:b/>
        </w:rPr>
        <w:lastRenderedPageBreak/>
        <w:t>Deterministic Recall:</w:t>
      </w:r>
      <w:r>
        <w:t xml:space="preserve"> Achieved 100% anomaly recall (10/10 events) with zero false positive trips across 50,000 oscillography samples. </w:t>
      </w:r>
    </w:p>
    <w:p w14:paraId="43AB24F4" w14:textId="77777777" w:rsidR="009C5D6D" w:rsidRDefault="00901040">
      <w:pPr>
        <w:numPr>
          <w:ilvl w:val="0"/>
          <w:numId w:val="1"/>
        </w:numPr>
        <w:ind w:hanging="360"/>
      </w:pPr>
      <w:r>
        <w:rPr>
          <w:b/>
        </w:rPr>
        <w:t>Circuit Breaker Latency:</w:t>
      </w:r>
      <w:r>
        <w:t xml:space="preserve"> </w:t>
      </w:r>
      <w:r>
        <w:t xml:space="preserve">Mid-forward-pass security triggers asserted zero-suppression in less than 0.01 milliseconds. </w:t>
      </w:r>
    </w:p>
    <w:p w14:paraId="17B58F44" w14:textId="77777777" w:rsidR="009C5D6D" w:rsidRPr="004A3039" w:rsidRDefault="00901040">
      <w:pPr>
        <w:pStyle w:val="Heading1"/>
        <w:ind w:left="-5"/>
        <w:rPr>
          <w:color w:val="auto"/>
        </w:rPr>
      </w:pPr>
      <w:r w:rsidRPr="004A3039">
        <w:rPr>
          <w:color w:val="auto"/>
        </w:rPr>
        <w:t xml:space="preserve">INSTITUTIONAL SAFETY STANDARDS AND BENCHMARKS </w:t>
      </w:r>
    </w:p>
    <w:p w14:paraId="2B45E963" w14:textId="77777777" w:rsidR="009C5D6D" w:rsidRPr="004A3039" w:rsidRDefault="00901040">
      <w:pPr>
        <w:spacing w:after="201" w:line="259" w:lineRule="auto"/>
        <w:ind w:left="60" w:firstLine="0"/>
        <w:rPr>
          <w:color w:val="auto"/>
        </w:rPr>
      </w:pPr>
      <w:r w:rsidRPr="004A3039">
        <w:rPr>
          <w:rFonts w:ascii="Calibri" w:eastAsia="Calibri" w:hAnsi="Calibri" w:cs="Calibri"/>
          <w:noProof/>
          <w:color w:val="auto"/>
        </w:rPr>
        <mc:AlternateContent>
          <mc:Choice Requires="wpg">
            <w:drawing>
              <wp:inline distT="0" distB="0" distL="0" distR="0" wp14:anchorId="3A3B5BCF" wp14:editId="123DD6E3">
                <wp:extent cx="5867400" cy="12700"/>
                <wp:effectExtent l="0" t="0" r="0" b="0"/>
                <wp:docPr id="11210" name="Group 1121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518" name="Shape 151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10" style="width:462pt;height:1pt;mso-position-horizontal-relative:char;mso-position-vertical-relative:line" coordsize="58674,127">
                <v:shape id="Shape 1518" style="position:absolute;width:58674;height:0;left:0;top:0;" coordsize="5867400,0" path="m0,0l5867400,0">
                  <v:stroke weight="1pt" endcap="flat" joinstyle="miter" miterlimit="10" on="true" color="#888888"/>
                  <v:fill on="false" color="#000000" opacity="0"/>
                </v:shape>
              </v:group>
            </w:pict>
          </mc:Fallback>
        </mc:AlternateContent>
      </w:r>
    </w:p>
    <w:p w14:paraId="341751F5" w14:textId="77777777" w:rsidR="009C5D6D" w:rsidRDefault="00901040">
      <w:r>
        <w:t xml:space="preserve">To achieve meaningful AI safety compliance, standard-setting bodies and enterprise architects must move beyond non-deterministic prompt evaluations toward hardware-enforced compute boundaries: </w:t>
      </w:r>
    </w:p>
    <w:p w14:paraId="7DAFF96B" w14:textId="77777777" w:rsidR="009C5D6D" w:rsidRDefault="00901040">
      <w:pPr>
        <w:numPr>
          <w:ilvl w:val="0"/>
          <w:numId w:val="2"/>
        </w:numPr>
        <w:spacing w:after="0" w:line="313" w:lineRule="auto"/>
        <w:ind w:hanging="360"/>
      </w:pPr>
      <w:r>
        <w:rPr>
          <w:b/>
        </w:rPr>
        <w:t>Sub-Millisecond Execution Containment:</w:t>
      </w:r>
      <w:r>
        <w:t xml:space="preserve"> Standardizing hardware/firmware-level circuit breakers capable of tripping malicious or runaway execution paths in under 0.01 ms. </w:t>
      </w:r>
    </w:p>
    <w:p w14:paraId="630080C5" w14:textId="77777777" w:rsidR="009C5D6D" w:rsidRPr="004A3039" w:rsidRDefault="00901040">
      <w:pPr>
        <w:numPr>
          <w:ilvl w:val="0"/>
          <w:numId w:val="2"/>
        </w:numPr>
        <w:spacing w:after="355"/>
        <w:ind w:hanging="360"/>
        <w:rPr>
          <w:b/>
          <w:bCs/>
        </w:rPr>
      </w:pPr>
      <w:r>
        <w:rPr>
          <w:b/>
        </w:rPr>
        <w:t xml:space="preserve">PPA </w:t>
      </w:r>
      <w:r>
        <w:rPr>
          <w:b/>
        </w:rPr>
        <w:t>Power Compliance:</w:t>
      </w:r>
      <w:r>
        <w:t xml:space="preserve"> Enabling high-density compute facilities to utilize dynamic threshold gating to guarantee real-time power draw never exceeds regional utility PPA </w:t>
      </w:r>
      <w:r w:rsidRPr="001577AD">
        <w:t>limits.</w:t>
      </w:r>
      <w:r w:rsidRPr="004A3039">
        <w:rPr>
          <w:b/>
          <w:bCs/>
        </w:rPr>
        <w:t xml:space="preserve"> </w:t>
      </w:r>
    </w:p>
    <w:p w14:paraId="1F2BBAA6" w14:textId="6347692F" w:rsidR="004A3039" w:rsidRDefault="00901040" w:rsidP="004A3039">
      <w:pPr>
        <w:pStyle w:val="NormalWeb"/>
        <w:spacing w:before="0" w:beforeAutospacing="0"/>
        <w:rPr>
          <w:rFonts w:ascii="Arial" w:hAnsi="Arial" w:cs="Arial"/>
          <w:b/>
          <w:bCs/>
          <w:sz w:val="36"/>
          <w:szCs w:val="36"/>
        </w:rPr>
      </w:pPr>
      <w:r w:rsidRPr="004A3039">
        <w:rPr>
          <w:b/>
          <w:bCs/>
          <w:sz w:val="36"/>
          <w:szCs w:val="36"/>
        </w:rPr>
        <w:t xml:space="preserve"> </w:t>
      </w:r>
      <w:r w:rsidR="004A3039" w:rsidRPr="004A3039">
        <w:rPr>
          <w:rFonts w:ascii="Arial" w:hAnsi="Arial" w:cs="Arial"/>
          <w:b/>
          <w:bCs/>
          <w:sz w:val="36"/>
          <w:szCs w:val="36"/>
        </w:rPr>
        <w:t>ABSTRACT: Deterministic Hardware Governance and Energy Minimization via Phase-Locked Dynamic Thresholding (</w:t>
      </w:r>
      <m:oMath>
        <m:sSub>
          <m:sSubPr>
            <m:ctrlPr>
              <w:rPr>
                <w:rFonts w:ascii="Cambria Math" w:hAnsi="Cambria Math" w:cs="Arial"/>
                <w:b/>
                <w:bCs/>
                <w:sz w:val="36"/>
                <w:szCs w:val="36"/>
              </w:rPr>
            </m:ctrlPr>
          </m:sSubPr>
          <m:e>
            <m:r>
              <m:rPr>
                <m:sty m:val="bi"/>
              </m:rPr>
              <w:rPr>
                <w:rFonts w:ascii="Cambria Math" w:hAnsi="Cambria Math" w:cs="Arial"/>
                <w:sz w:val="36"/>
                <w:szCs w:val="36"/>
              </w:rPr>
              <m:t>V</m:t>
            </m:r>
          </m:e>
          <m:sub>
            <m:r>
              <m:rPr>
                <m:nor/>
              </m:rPr>
              <w:rPr>
                <w:rFonts w:ascii="Arial" w:hAnsi="Arial" w:cs="Arial"/>
                <w:b/>
                <w:bCs/>
                <w:sz w:val="36"/>
                <w:szCs w:val="36"/>
              </w:rPr>
              <m:t>th</m:t>
            </m:r>
          </m:sub>
        </m:sSub>
        <m:d>
          <m:dPr>
            <m:ctrlPr>
              <w:rPr>
                <w:rFonts w:ascii="Cambria Math" w:hAnsi="Cambria Math" w:cs="Arial"/>
                <w:b/>
                <w:bCs/>
                <w:sz w:val="36"/>
                <w:szCs w:val="36"/>
              </w:rPr>
            </m:ctrlPr>
          </m:dPr>
          <m:e>
            <m:r>
              <m:rPr>
                <m:sty m:val="bi"/>
              </m:rPr>
              <w:rPr>
                <w:rFonts w:ascii="Cambria Math" w:hAnsi="Cambria Math" w:cs="Arial"/>
                <w:sz w:val="36"/>
                <w:szCs w:val="36"/>
              </w:rPr>
              <m:t>t</m:t>
            </m:r>
          </m:e>
        </m:d>
      </m:oMath>
      <w:r w:rsidR="004A3039" w:rsidRPr="004A3039">
        <w:rPr>
          <w:rFonts w:ascii="Arial" w:hAnsi="Arial" w:cs="Arial"/>
          <w:b/>
          <w:bCs/>
          <w:sz w:val="36"/>
          <w:szCs w:val="36"/>
        </w:rPr>
        <w:t>)</w:t>
      </w:r>
    </w:p>
    <w:p w14:paraId="40ABD6F3" w14:textId="13E5282B" w:rsidR="001577AD" w:rsidRPr="004A3039" w:rsidRDefault="001577AD" w:rsidP="004A3039">
      <w:pPr>
        <w:pStyle w:val="NormalWeb"/>
        <w:spacing w:before="0" w:beforeAutospacing="0"/>
        <w:rPr>
          <w:rFonts w:ascii="Arial" w:hAnsi="Arial" w:cs="Arial"/>
          <w:b/>
          <w:bCs/>
          <w:sz w:val="36"/>
          <w:szCs w:val="36"/>
        </w:rPr>
      </w:pPr>
      <w:r w:rsidRPr="004A3039">
        <w:rPr>
          <w:rFonts w:ascii="Calibri" w:eastAsia="Calibri" w:hAnsi="Calibri" w:cs="Calibri"/>
          <w:noProof/>
        </w:rPr>
        <mc:AlternateContent>
          <mc:Choice Requires="wpg">
            <w:drawing>
              <wp:inline distT="0" distB="0" distL="0" distR="0" wp14:anchorId="5942A946" wp14:editId="6D64D059">
                <wp:extent cx="5867400" cy="12700"/>
                <wp:effectExtent l="0" t="0" r="0" b="0"/>
                <wp:docPr id="1587319608" name="Group 158731960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03293069" name="Shape 1518"/>
                        <wps:cNvSpPr/>
                        <wps:spPr>
                          <a:xfrm>
                            <a:off x="0" y="0"/>
                            <a:ext cx="5867400" cy="0"/>
                          </a:xfrm>
                          <a:custGeom>
                            <a:avLst/>
                            <a:gdLst/>
                            <a:ahLst/>
                            <a:cxnLst/>
                            <a:rect l="0" t="0" r="0" b="0"/>
                            <a:pathLst>
                              <a:path w="5867400">
                                <a:moveTo>
                                  <a:pt x="0" y="0"/>
                                </a:moveTo>
                                <a:lnTo>
                                  <a:pt x="5867400" y="0"/>
                                </a:lnTo>
                              </a:path>
                            </a:pathLst>
                          </a:custGeom>
                          <a:noFill/>
                          <a:ln w="12700" cap="flat" cmpd="sng" algn="ctr">
                            <a:solidFill>
                              <a:srgbClr val="888888"/>
                            </a:solidFill>
                            <a:prstDash val="solid"/>
                            <a:miter lim="127000"/>
                          </a:ln>
                          <a:effectLst/>
                        </wps:spPr>
                        <wps:bodyPr/>
                      </wps:wsp>
                    </wpg:wgp>
                  </a:graphicData>
                </a:graphic>
              </wp:inline>
            </w:drawing>
          </mc:Choice>
          <mc:Fallback>
            <w:pict>
              <v:group w14:anchorId="5F3DB2F8" id="Group 1587319608"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">
                <v:shape id="Shape 1518"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" path="m,l5867400,e" filled="f" strokecolor="#888" strokeweight="1pt">
                  <v:stroke miterlimit="83231f" joinstyle="miter"/>
                  <v:path arrowok="t" textboxrect="0,0,5867400,0"/>
                </v:shape>
                <w10:anchorlock/>
              </v:group>
            </w:pict>
          </mc:Fallback>
        </mc:AlternateContent>
      </w:r>
    </w:p>
    <w:p w14:paraId="6BA4391C" w14:textId="77777777" w:rsidR="004A3039" w:rsidRPr="001577AD" w:rsidRDefault="004A3039" w:rsidP="004A3039">
      <w:pPr>
        <w:pStyle w:val="NormalWeb"/>
        <w:spacing w:before="0" w:beforeAutospacing="0"/>
        <w:rPr>
          <w:rFonts w:ascii="Arial" w:hAnsi="Arial" w:cs="Arial"/>
          <w:sz w:val="22"/>
          <w:szCs w:val="22"/>
        </w:rPr>
      </w:pPr>
      <w:r w:rsidRPr="001577AD">
        <w:rPr>
          <w:rFonts w:ascii="Arial" w:hAnsi="Arial" w:cs="Arial"/>
          <w:sz w:val="22"/>
          <w:szCs w:val="22"/>
        </w:rPr>
        <w:t>Modern spiking neural networks (SNNs) and edge AI execution units face severe energy efficiency ceilings due to static DC firing thresholds and memory bus transfer overheads. The Generalized Vector Field (GVF) architecture introduces a continuous, phase-locked dynamic activation envelope (</w:t>
      </w:r>
      <m:oMath>
        <m:sSub>
          <m:sSubPr>
            <m:ctrlPr>
              <w:rPr>
                <w:rFonts w:ascii="Cambria Math" w:hAnsi="Cambria Math" w:cs="Arial"/>
                <w:sz w:val="22"/>
                <w:szCs w:val="22"/>
              </w:rPr>
            </m:ctrlPr>
          </m:sSubPr>
          <m:e>
            <m:r>
              <w:rPr>
                <w:rFonts w:ascii="Cambria Math" w:hAnsi="Cambria Math" w:cs="Arial"/>
                <w:sz w:val="22"/>
                <w:szCs w:val="22"/>
              </w:rPr>
              <m:t>V</m:t>
            </m:r>
          </m:e>
          <m:sub>
            <m:r>
              <m:rPr>
                <m:nor/>
              </m:rPr>
              <w:rPr>
                <w:rFonts w:ascii="Arial" w:hAnsi="Arial" w:cs="Arial"/>
                <w:sz w:val="22"/>
                <w:szCs w:val="22"/>
              </w:rPr>
              <m:t>th</m:t>
            </m:r>
          </m:sub>
        </m:sSub>
        <m:d>
          <m:dPr>
            <m:ctrlPr>
              <w:rPr>
                <w:rFonts w:ascii="Cambria Math" w:hAnsi="Cambria Math" w:cs="Arial"/>
                <w:sz w:val="22"/>
                <w:szCs w:val="22"/>
              </w:rPr>
            </m:ctrlPr>
          </m:dPr>
          <m:e>
            <m:r>
              <w:rPr>
                <w:rFonts w:ascii="Cambria Math" w:hAnsi="Cambria Math" w:cs="Arial"/>
                <w:sz w:val="22"/>
                <w:szCs w:val="22"/>
              </w:rPr>
              <m:t>t</m:t>
            </m:r>
          </m:e>
        </m:d>
      </m:oMath>
      <w:r w:rsidRPr="001577AD">
        <w:rPr>
          <w:rFonts w:ascii="Arial" w:hAnsi="Arial" w:cs="Arial"/>
          <w:sz w:val="22"/>
          <w:szCs w:val="22"/>
        </w:rPr>
        <w:t>) that suppresses sub-threshold signal noise at the silicon bitline level. By replacing unconstrained activation dynamics with hardware-enforced circuit breakers, GVF reduces floating-point matrix operations (FLOPs) by up to 97% while guaranteeing sub-0.01ms fault containment. GVF operates fully within existing NIST AI Risk Management Frameworks, offering a vendor-agnostic, deterministic governance layer for mission-critical edge compute, smart grid infrastructure, and enterprise AI accelerators.</w:t>
      </w:r>
    </w:p>
    <w:p w14:paraId="7B3368F2" w14:textId="162FD9F7" w:rsidR="009C5D6D" w:rsidRDefault="009C5D6D" w:rsidP="00941409">
      <w:pPr>
        <w:ind w:left="585" w:firstLine="0"/>
      </w:pPr>
    </w:p>
    <w:sectPr w:rsidR="009C5D6D">
      <w:pgSz w:w="12240" w:h="15840"/>
      <w:pgMar w:top="1491" w:right="1444" w:bottom="15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37E"/>
    <w:multiLevelType w:val="hybridMultilevel"/>
    <w:tmpl w:val="F840303C"/>
    <w:lvl w:ilvl="0" w:tplc="DF8217A0">
      <w:start w:val="1"/>
      <w:numFmt w:val="decimal"/>
      <w:lvlText w:val="%1."/>
      <w:lvlJc w:val="left"/>
      <w:pPr>
        <w:ind w:left="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9C197E">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0EA918">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AE426C">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498E0">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62A27A">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6BAB542">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7E1C7A">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C2D996">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37C7CC6"/>
    <w:multiLevelType w:val="hybridMultilevel"/>
    <w:tmpl w:val="41EEA4A4"/>
    <w:lvl w:ilvl="0" w:tplc="B4C0D10A">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FA9AF8">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7C604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C88C38">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10395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C437D0">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0077F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E47EA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3C7F90">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66C577C"/>
    <w:multiLevelType w:val="multilevel"/>
    <w:tmpl w:val="E55CA7FE"/>
    <w:lvl w:ilvl="0">
      <w:start w:val="1"/>
      <w:numFmt w:val="decimal"/>
      <w:pStyle w:val="Heading1"/>
      <w:lvlText w:val="%1."/>
      <w:lvlJc w:val="left"/>
      <w:pPr>
        <w:ind w:left="5760"/>
      </w:pPr>
      <w:rPr>
        <w:rFonts w:ascii="Arial" w:eastAsia="Arial" w:hAnsi="Arial" w:cs="Arial"/>
        <w:b/>
        <w:bCs/>
        <w:i w:val="0"/>
        <w:strike w:val="0"/>
        <w:dstrike w:val="0"/>
        <w:color w:val="1E293B"/>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0A21D4D"/>
    <w:multiLevelType w:val="hybridMultilevel"/>
    <w:tmpl w:val="95B4A764"/>
    <w:lvl w:ilvl="0" w:tplc="554CCAE8">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EACB3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8C15F0">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981678">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2C08D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9A9B5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1C0CF6">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94448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1A420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56972B9"/>
    <w:multiLevelType w:val="hybridMultilevel"/>
    <w:tmpl w:val="FE3AC538"/>
    <w:lvl w:ilvl="0" w:tplc="9DF093A0">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EA7B80">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1A145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0A4C5A">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EAC24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6E03E4">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98081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080A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409B4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85C195B"/>
    <w:multiLevelType w:val="hybridMultilevel"/>
    <w:tmpl w:val="D18A596C"/>
    <w:lvl w:ilvl="0" w:tplc="095EBA4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3A64EE">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90DE9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90817A">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B20722">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886F5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E043D2">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C43260">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5ECCE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9B239FB"/>
    <w:multiLevelType w:val="hybridMultilevel"/>
    <w:tmpl w:val="34D41012"/>
    <w:lvl w:ilvl="0" w:tplc="E0E43D4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78B2C8">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5E8EE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4AF95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38941A">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20526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A07252">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B635D2">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E8C050">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73622524">
    <w:abstractNumId w:val="1"/>
  </w:num>
  <w:num w:numId="2" w16cid:durableId="1549798337">
    <w:abstractNumId w:val="0"/>
  </w:num>
  <w:num w:numId="3" w16cid:durableId="1042706616">
    <w:abstractNumId w:val="3"/>
  </w:num>
  <w:num w:numId="4" w16cid:durableId="791286249">
    <w:abstractNumId w:val="6"/>
  </w:num>
  <w:num w:numId="5" w16cid:durableId="996498792">
    <w:abstractNumId w:val="5"/>
  </w:num>
  <w:num w:numId="6" w16cid:durableId="1342511631">
    <w:abstractNumId w:val="4"/>
  </w:num>
  <w:num w:numId="7" w16cid:durableId="1325468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D6D"/>
    <w:rsid w:val="001577AD"/>
    <w:rsid w:val="003869D7"/>
    <w:rsid w:val="004A3039"/>
    <w:rsid w:val="00901040"/>
    <w:rsid w:val="00941409"/>
    <w:rsid w:val="009C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892F"/>
  <w15:docId w15:val="{D113DD8C-4307-45BF-BAC8-C7256E703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7"/>
      </w:numPr>
      <w:spacing w:after="128" w:line="265" w:lineRule="auto"/>
      <w:ind w:left="10" w:hanging="10"/>
      <w:outlineLvl w:val="0"/>
    </w:pPr>
    <w:rPr>
      <w:rFonts w:ascii="Arial" w:eastAsia="Arial" w:hAnsi="Arial" w:cs="Arial"/>
      <w:b/>
      <w:color w:val="1E293B"/>
      <w:sz w:val="36"/>
    </w:rPr>
  </w:style>
  <w:style w:type="paragraph" w:styleId="Heading2">
    <w:name w:val="heading 2"/>
    <w:next w:val="Normal"/>
    <w:link w:val="Heading2Char"/>
    <w:uiPriority w:val="9"/>
    <w:unhideWhenUsed/>
    <w:qFormat/>
    <w:pPr>
      <w:keepNext/>
      <w:keepLines/>
      <w:numPr>
        <w:ilvl w:val="1"/>
        <w:numId w:val="7"/>
      </w:numPr>
      <w:spacing w:after="255"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E293B"/>
      <w:sz w:val="3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A303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GVF Architecture Whitepaper - Hardware-Enforced AI Governance (Scrubbed Version)</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GVF Architecture Whitepaper - Hardware-Enforced AI Governance (Scrubbed Version)</dc:title>
  <dc:subject/>
  <dc:creator>Damita Gonzalez</dc:creator>
  <cp:keywords/>
  <cp:lastModifiedBy>Damita Gonzalez</cp:lastModifiedBy>
  <cp:revision>2</cp:revision>
  <dcterms:created xsi:type="dcterms:W3CDTF">2026-08-28T21:24:00Z</dcterms:created>
  <dcterms:modified xsi:type="dcterms:W3CDTF">2026-08-28T21:24:00Z</dcterms:modified>
</cp:coreProperties>
</file>