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w:t>
      </w:r>
      <w:r>
        <w:t xml:space="preserve">ose-</w:t>
      </w:r>
      <w:r>
        <w:rPr>
          <w:b/>
          <w:bCs/>
          <w:u w:val="single"/>
        </w:rPr>
        <w:t xml:space="preserv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287079"/>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287079"/>
                    </a:xfrm>
                    <a:prstGeom prst="rect">
                      <a:avLst/>
                    </a:prstGeom>
                  </pic:spPr>
                </pic:pic>
              </a:graphicData>
            </a:graphic>
          </wp:inline>
        </w:drawing>
      </w:r>
    </w:p>
    <w:p>
      <w:pPr>
        <w:pStyle w:val="Caption"/>
      </w:pPr>
      <w:r>
        <w:t xml:space="preserve">PANDA project icon.</w:t>
      </w:r>
    </w:p>
    <w:p>
      <w:pPr>
        <w:pStyle w:val="Normal"/>
      </w:pPr>
      <w:r>
        <w:rPr>
          <w:b/>
          <w:bCs/>
        </w:rPr>
        <w:t xml:space="preserve">Acronym expansion:</w:t>
      </w:r>
      <w:r>
        <w:t xml:space="preserve"> </w:t>
      </w:r>
      <w:r>
        <w:rPr>
          <w:b/>
          <w:bCs/>
          <w:u w:val="single"/>
        </w:rPr>
        <w:t xml:space="preserve">P</w:t>
      </w:r>
      <w:r>
        <w:t xml:space="preserve">ose-</w:t>
      </w:r>
      <w:r>
        <w:rPr>
          <w:b/>
          <w:bCs/>
          <w:u w:val="single"/>
        </w:rPr>
        <w:t xml:space="preserv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Code availability:</w:t>
      </w:r>
      <w:r>
        <w:t xml:space="preserve"> Not publicly released.</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w:t>
      </w:r>
      <w:r>
        <w:t xml:space="preserve">ose-</w:t>
      </w:r>
      <w:r>
        <w:rPr>
          <w:b/>
          <w:bCs/>
          <w:u w:val="single"/>
        </w:rPr>
        <w:t xml:space="preserv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A mirrored selfie-view display and guided-style windowed skeleton overlay, enabled by default, so the performer's left/right hand motion and visual feedback match the guided evaluator.</w:t>
      </w:r>
    </w:p>
    <w:p>
      <w:pPr>
        <w:pStyle w:val="ListParagraph"/>
      </w:pPr>
      <w:r>
        <w:t xml:space="preserve">• Generated interface diagrams for both modes.</w:t>
      </w:r>
    </w:p>
    <w:p>
      <w:pPr>
        <w:pStyle w:val="ListParagraph"/>
      </w:pPr>
      <w:r>
        <w:t xml:space="preserve">• A default </w:t>
      </w:r>
      <w:r>
        <w:rPr>
          <w:rFonts w:ascii="Courier New" w:hAnsi="Courier New"/>
        </w:rPr>
        <w:t xml:space="preserve">main.py</w:t>
      </w:r>
      <w:r>
        <w:t xml:space="preserve"> runtime that launches the final </w:t>
      </w:r>
      <w:r>
        <w:rPr>
          <w:rFonts w:ascii="Courier New" w:hAnsi="Courier New"/>
        </w:rPr>
        <w:t xml:space="preserve">npu-full</w:t>
      </w:r>
      <w:r>
        <w:t xml:space="preserve"> CPU+NPU model path when packaged models are available.</w:t>
      </w:r>
    </w:p>
    <w:p>
      <w:pPr>
        <w:pStyle w:val="ListParagraph"/>
      </w:pPr>
      <w:r>
        <w:t xml:space="preserve">• Report figures generated programmatically for system architecture, strike logic, and backend latency.</w:t>
      </w:r>
    </w:p>
    <w:p>
      <w:pPr>
        <w:pStyle w:val="ListParagraph"/>
      </w:pPr>
      <w:r>
        <w:t xml:space="preserve">• A repeatable validation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using an OpenCV-based capture layer [3],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diagram generated programmatically for this report.</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programmatically for this report.</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programmatically for this report.</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programmatically for this report.</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programmatically for this report.</w:t>
      </w:r>
    </w:p>
    <w:p>
      <w:pPr>
        <w:pStyle w:val="Heading3"/>
      </w:pPr>
      <w:r>
        <w:t xml:space="preserve">2.2 Live Interface Screenshots</w:t>
      </w:r>
    </w:p>
    <w:p>
      <w:pPr>
        <w:pStyle w:val="Normal"/>
      </w:pPr>
      <w:r>
        <w:t xml:space="preserve">The runtime interface screenshots use the normal, non-guided overlay on captured camera frames after the mirror-view and default-runtime updates. The default </w:t>
      </w:r>
      <w:r>
        <w:rPr>
          <w:rFonts w:ascii="Courier New" w:hAnsi="Courier New"/>
        </w:rPr>
        <w:t xml:space="preserve">main.py</w:t>
      </w:r>
      <w:r>
        <w:t xml:space="preserve"> path now starts the final CPU+NPU </w:t>
      </w:r>
      <w:r>
        <w:rPr>
          <w:rFonts w:ascii="Courier New" w:hAnsi="Courier New"/>
        </w:rPr>
        <w:t xml:space="preserve">npu-full</w:t>
      </w:r>
      <w:r>
        <w:t xml:space="preserve"> backend, uses the same hand-landmark model, layout files, and dataset-calibrated landmark correction used by the validated NPU path, and presents the same guided-style mirrored windowed interface without cue-specific guidance such as countdowns and "ready" prompts. The drum screenshot shows the pad-based performance interface with a mirrored camera feed and a simple yellow hand skeleton. The piano screenshot shows the live hand-to-note interface with the same skeleton-style visualization overlaid on the camera view.</w:t>
      </w:r>
    </w:p>
    <w:p>
      <w:pPr>
        <w:jc w:val="center"/>
      </w:pPr>
      <w:r>
        <w:drawing>
          <wp:inline distT="0" distB="0" distL="0" distR="0">
            <wp:extent cx="5669280" cy="3188970"/>
            <wp:docPr id="7" name="live_drum_interface.png"/>
            <wp:cNvGraphicFramePr>
              <a:graphicFrameLocks noChangeAspect="1"/>
            </wp:cNvGraphicFramePr>
            <a:graphic>
              <a:graphicData uri="http://schemas.openxmlformats.org/drawingml/2006/picture">
                <pic:pic>
                  <pic:nvPicPr>
                    <pic:cNvPr id="7" name="live_drum_interface.png"/>
                    <pic:cNvPicPr/>
                  </pic:nvPicPr>
                  <pic:blipFill>
                    <a:blip r:embed="rId7"/>
                    <a:stretch>
                      <a:fillRect/>
                    </a:stretch>
                  </pic:blipFill>
                  <pic:spPr>
                    <a:xfrm>
                      <a:off x="0" y="0"/>
                      <a:ext cx="5669280" cy="3188970"/>
                    </a:xfrm>
                    <a:prstGeom prst="rect">
                      <a:avLst/>
                    </a:prstGeom>
                  </pic:spPr>
                </pic:pic>
              </a:graphicData>
            </a:graphic>
          </wp:inline>
        </w:drawing>
      </w:r>
    </w:p>
    <w:p>
      <w:pPr>
        <w:pStyle w:val="Caption"/>
      </w:pPr>
      <w:r>
        <w:t xml:space="preserve">Figure 6. Non-guided drum-pad runtime screenshot captured from the mirrored CPU+NPU interface.</w:t>
      </w:r>
    </w:p>
    <w:p>
      <w:pPr>
        <w:jc w:val="center"/>
      </w:pPr>
      <w:r>
        <w:drawing>
          <wp:inline distT="0" distB="0" distL="0" distR="0">
            <wp:extent cx="5669280" cy="3188970"/>
            <wp:docPr id="8" name="live_piano_interface.png"/>
            <wp:cNvGraphicFramePr>
              <a:graphicFrameLocks noChangeAspect="1"/>
            </wp:cNvGraphicFramePr>
            <a:graphic>
              <a:graphicData uri="http://schemas.openxmlformats.org/drawingml/2006/picture">
                <pic:pic>
                  <pic:nvPicPr>
                    <pic:cNvPr id="8" name="live_piano_interface.png"/>
                    <pic:cNvPicPr/>
                  </pic:nvPicPr>
                  <pic:blipFill>
                    <a:blip r:embed="rId8"/>
                    <a:stretch>
                      <a:fillRect/>
                    </a:stretch>
                  </pic:blipFill>
                  <pic:spPr>
                    <a:xfrm>
                      <a:off x="0" y="0"/>
                      <a:ext cx="5669280" cy="3188970"/>
                    </a:xfrm>
                    <a:prstGeom prst="rect">
                      <a:avLst/>
                    </a:prstGeom>
                  </pic:spPr>
                </pic:pic>
              </a:graphicData>
            </a:graphic>
          </wp:inline>
        </w:drawing>
      </w:r>
    </w:p>
    <w:p>
      <w:pPr>
        <w:pStyle w:val="Caption"/>
      </w:pPr>
      <w:r>
        <w:t xml:space="preserve">Figure 7. Non-guided piano runtime screenshot captured from the mirrored interface.</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such as MediaPipe Hands [1] and the MediaPipe Hand Landmarker task [2]: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8 shows the decision logic.</w:t>
      </w:r>
    </w:p>
    <w:p>
      <w:pPr>
        <w:jc w:val="center"/>
      </w:pPr>
      <w:r>
        <w:drawing>
          <wp:inline distT="0" distB="0" distL="0" distR="0">
            <wp:extent cx="5669280" cy="3382670"/>
            <wp:docPr id="9" name="strike_logic.png"/>
            <wp:cNvGraphicFramePr>
              <a:graphicFrameLocks noChangeAspect="1"/>
            </wp:cNvGraphicFramePr>
            <a:graphic>
              <a:graphicData uri="http://schemas.openxmlformats.org/drawingml/2006/picture">
                <pic:pic>
                  <pic:nvPicPr>
                    <pic:cNvPr id="9" name="strike_logic.png"/>
                    <pic:cNvPicPr/>
                  </pic:nvPicPr>
                  <pic:blipFill>
                    <a:blip r:embed="rId9"/>
                    <a:stretch>
                      <a:fillRect/>
                    </a:stretch>
                  </pic:blipFill>
                  <pic:spPr>
                    <a:xfrm>
                      <a:off x="0" y="0"/>
                      <a:ext cx="5669280" cy="3382670"/>
                    </a:xfrm>
                    <a:prstGeom prst="rect">
                      <a:avLst/>
                    </a:prstGeom>
                  </pic:spPr>
                </pic:pic>
              </a:graphicData>
            </a:graphic>
          </wp:inline>
        </w:drawing>
      </w:r>
    </w:p>
    <w:p>
      <w:pPr>
        <w:pStyle w:val="Caption"/>
      </w:pPr>
      <w:r>
        <w:t xml:space="preserve">Figure 8. Strike-decision logic diagram generated programmatically for this report.</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implemented as the default runtime note configuration and is mirrored in the custom piano-layout configuration used to generate the example figure.</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[4]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Runtime Backends</w:t>
      </w:r>
    </w:p>
    <w:p>
      <w:pPr>
        <w:pStyle w:val="Normal"/>
      </w:pPr>
      <w:r>
        <w:t xml:space="preserve">The application supports four major backend configurations, including MediaPipe-based CPU inference [1], [2] and DEEPX </w:t>
      </w:r>
      <w:r>
        <w:rPr>
          <w:rFonts w:ascii="Courier New" w:hAnsi="Courier New"/>
        </w:rPr>
        <w:t xml:space="preserve">.dxnn</w:t>
      </w:r>
      <w:r>
        <w:t xml:space="preserve"> NPU execution through the DXNN toolchain [5].</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 [1], [2]</w:t>
            </w:r>
          </w:p>
        </w:tc>
        <w:tc>
          <w:tcPr/>
          <w:p>
            <w:pPr>
              <w:pStyle w:val="Normal"/>
            </w:pPr>
            <w:r>
              <w:t xml:space="preserve">MediaPipe internal [1], [2]</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 default </w:t>
            </w:r>
            <w:r>
              <w:rPr>
                <w:rFonts w:ascii="Courier New" w:hAnsi="Courier New"/>
              </w:rPr>
              <w:t xml:space="preserve">main.py</w:t>
            </w:r>
            <w:r>
              <w:t xml:space="preserve"> runtime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and is the default runtime used by </w:t>
      </w:r>
      <w:r>
        <w:rPr>
          <w:rFonts w:ascii="Courier New" w:hAnsi="Courier New"/>
        </w:rPr>
        <w:t xml:space="preserve">main.py</w:t>
      </w:r>
      <w:r>
        <w:t xml:space="preserve"> when the packaged model files are present. The default also loads the dataset-calibrated NPU landmark-correction JSON when available, because the pre-collected replay dataset shows that it reduces mean normalized NPU landmark error versus the CPU TFLite reference. CPU palm detection still dominates latency. The dual-halves NPU mode is faster because it removes palm detection, but it is a geometric approximation and should be evaluated under the target camera setup.</w:t>
      </w:r>
    </w:p>
    <w:p>
      <w:pPr>
        <w:pStyle w:val="Heading3"/>
      </w:pPr>
      <w:r>
        <w:t xml:space="preserve">5.2 User Interface</w:t>
      </w:r>
    </w:p>
    <w:p>
      <w:pPr>
        <w:pStyle w:val="Normal"/>
      </w:pPr>
      <w:r>
        <w:t xml:space="preserve">The runtime display contains the camera feed, a guided-evaluator-style yellow hand skeleton, fingertip points, and mode-specific overlays. It is windowed by default, matching the guided evaluator, with fullscreen available only by explicit option. Accuracy checks on the pre-collected replay dataset showed that running inference on the raw camera frame preserves the model's right-hand thumb-to-pinky identity better than running inference on an already mirrored frame. Therefore, the final interface runs palm and hand-landmark inference on the raw frame, then mirrors only the displayed image and landmark coordinates for the selfie view. This produces an interface in which moving a hand leftward in physical space also moves it leftward on the screen, while the anatomical thumb/pinky landmark order is not reversed by the display transform. A </w:t>
      </w:r>
      <w:r>
        <w:rPr>
          <w:rFonts w:ascii="Courier New" w:hAnsi="Courier New"/>
        </w:rPr>
        <w:t xml:space="preserve">--no-mirror</w:t>
      </w:r>
      <w:r>
        <w:t xml:space="preserve"> option remains available for camera setups that already provide mirrored input.</w:t>
      </w:r>
    </w:p>
    <w:p>
      <w:pPr>
        <w:pStyle w:val="Normal"/>
      </w:pPr>
      <w:r>
        <w:t xml:space="preserve">In drum mode, rectangles are drawn directly on the mirrored camera feed and flash briefly when hit; hit testing uses the same display-transformed landmark coordinates, so pad locations match what the performer sees. In piano mode, the note mapping is tied to a mirror-aware physical left/right estimate rather than raw tracker hand order or raw MediaPipe handedness. This keeps the user-specified left-hand and right-hand note ranges stable even when the camera feed is flipped for the performer and even when the hand tracker changes the order of detected hands.</w:t>
      </w:r>
    </w:p>
    <w:p>
      <w:pPr>
        <w:pStyle w:val="Normal"/>
      </w:pPr>
      <w:r>
        <w:t xml:space="preserve">The live interface no longer draws per-finger colored chains, fingertip trails, or thumb/pinky letter labels. Strike detection still evaluates every fingertip internally, but the visual layer uses the same simple skeleton as the guided evaluator so that non-guided and guided runs look consistent. Piano note triggering uses the model-provided fingertip landmark identity together with a mirror-aware physical left/right hand estimate.</w:t>
      </w:r>
    </w:p>
    <w:p>
      <w:pPr>
        <w:pStyle w:val="Normal"/>
      </w:pPr>
      <w:r>
        <w:t xml:space="preserve">The generated diagrams are used as report figures and as reference assets for documenting the available mappings.</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validation suite performs Python syntax checks, unit tests, and palm decode tests. Hardware-dependent benchmark smoke tests are separated from the default quality gate so that the report can distinguish portable software validation from board-specific performance evaluation.</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r>
              <w:t xml:space="preserve"> [5]</w:t>
            </w:r>
          </w:p>
        </w:tc>
        <w:tc>
          <w:tcPr/>
          <w:p>
            <w:pPr>
              <w:pStyle w:val="Normal"/>
            </w:pPr>
            <w:r>
              <w:t xml:space="preserve">1.1.4</w:t>
            </w:r>
          </w:p>
        </w:tc>
      </w:tr>
      <w:tr>
        <w:tc>
          <w:tcPr/>
          <w:p>
            <w:pPr>
              <w:pStyle w:val="Normal"/>
            </w:pPr>
            <w:r>
              <w:t xml:space="preserve">DX-COM [5]</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3121835"/>
            <wp:docPr id="10" name="backend_latency.png"/>
            <wp:cNvGraphicFramePr>
              <a:graphicFrameLocks noChangeAspect="1"/>
            </wp:cNvGraphicFramePr>
            <a:graphic>
              <a:graphicData uri="http://schemas.openxmlformats.org/drawingml/2006/picture">
                <pic:pic>
                  <pic:nvPicPr>
                    <pic:cNvPr id="10" name="backend_latency.png"/>
                    <pic:cNvPicPr/>
                  </pic:nvPicPr>
                  <pic:blipFill>
                    <a:blip r:embed="rId10"/>
                    <a:stretch>
                      <a:fillRect/>
                    </a:stretch>
                  </pic:blipFill>
                  <pic:spPr>
                    <a:xfrm>
                      <a:off x="0" y="0"/>
                      <a:ext cx="5669280" cy="3121835"/>
                    </a:xfrm>
                    <a:prstGeom prst="rect">
                      <a:avLst/>
                    </a:prstGeom>
                  </pic:spPr>
                </pic:pic>
              </a:graphicData>
            </a:graphic>
          </wp:inline>
        </w:drawing>
      </w:r>
    </w:p>
    <w:p>
      <w:pPr>
        <w:pStyle w:val="Caption"/>
      </w:pPr>
      <w:r>
        <w:t xml:space="preserve">Figure 9. Backend latency comparison generated programmatically for this report.</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guided trials in both drum and piano modes using the built-in visual/audio cue evaluator. The evaluator displays a predefined beat sequence, records detected strike events, matches events to scheduled cues, and exports </w:t>
      </w:r>
      <w:r>
        <w:rPr>
          <w:rFonts w:ascii="Courier New" w:hAnsi="Courier New"/>
        </w:rPr>
        <w:t xml:space="preserve">cues.csv</w:t>
      </w:r>
      <w:r>
        <w:t xml:space="preserve">, </w:t>
      </w:r>
      <w:r>
        <w:rPr>
          <w:rFonts w:ascii="Courier New" w:hAnsi="Courier New"/>
        </w:rPr>
        <w:t xml:space="preserve">events.csv</w:t>
      </w:r>
      <w:r>
        <w:t xml:space="preserve">, </w:t>
      </w:r>
      <w:r>
        <w:rPr>
          <w:rFonts w:ascii="Courier New" w:hAnsi="Courier New"/>
        </w:rPr>
        <w:t xml:space="preserve">matches.csv</w:t>
      </w:r>
      <w:r>
        <w:t xml:space="preserve">, </w:t>
      </w:r>
      <w:r>
        <w:rPr>
          <w:rFonts w:ascii="Courier New" w:hAnsi="Courier New"/>
        </w:rPr>
        <w:t xml:space="preserve">summary.json</w:t>
      </w:r>
      <w:r>
        <w:t xml:space="preserve">, </w:t>
      </w:r>
      <w:r>
        <w:rPr>
          <w:rFonts w:ascii="Courier New" w:hAnsi="Courier New"/>
        </w:rPr>
        <w:t xml:space="preserve">summary.md</w:t>
      </w:r>
      <w:r>
        <w:t xml:space="preserve">, and an optional review video. A true positive is an intended strike detected within the allowed time window. A false negative is an intended strike with no valid event. A false positive is an unintended or duplicate event outside the allowed window. The pilot guided results are reported in Section 7.3.</w:t>
      </w:r>
    </w:p>
    <w:p>
      <w:pPr>
        <w:pStyle w:val="ListParagraph"/>
      </w:pPr>
      <w:r>
        <w:t xml:space="preserve">3. </w:t>
      </w:r>
      <w:r>
        <w:rPr>
          <w:b/>
          <w:bCs/>
        </w:rPr>
        <w:t xml:space="preserve">Per-run logging:</w:t>
      </w:r>
      <w:r>
        <w:t xml:space="preserve"> retain the internal build identifier, backend, camera resolution, model 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r>
        <w:t xml:space="preserve">The following figure is still a placeholder because it requires synchronized high-speed video/audio capture.</w:t>
      </w:r>
    </w:p>
    <w:p>
      <w:pPr>
        <w:pStyle w:val="Caption"/>
      </w:pPr>
      <w:r>
        <w:t xml:space="preserve">[FILLME image placeholder: Figure 10. FILLME: high-speed-camera setup showing hand motion and speaker/audio waveform for E2E latency measurement.]</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overlays.</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38/38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in the portable validation run</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dataset capture indexing, and the guided evaluation cue/matching/output helpers.</w:t>
      </w:r>
    </w:p>
    <w:p>
      <w:pPr>
        <w:pStyle w:val="Heading3"/>
      </w:pPr>
      <w:r>
        <w:t xml:space="preserve">7.3 Guided Live Evaluation Results</w:t>
      </w:r>
    </w:p>
    <w:p>
      <w:pPr>
        <w:pStyle w:val="Normal"/>
      </w:pPr>
      <w:r>
        <w:t xml:space="preserve">A guided live evaluation was run on May 27, 2026 using the mirrored camera interface and the final </w:t>
      </w:r>
      <w:r>
        <w:rPr>
          <w:rFonts w:ascii="Courier New" w:hAnsi="Courier New"/>
        </w:rPr>
        <w:t xml:space="preserve">npu-full</w:t>
      </w:r>
      <w:r>
        <w:t xml:space="preserve"> architecture: CPU palm detection with NPU hand-landmark inference. To reduce the effect of reading and reaction time, the evaluator used a block-repetition protocol. Each target block had a 5 s initial lead-in, a 6 s ready interval before the target, six repeated strikes at 50 BPM, and the first two strikes of each block were excluded from scoring as warm-up beats. Matching used a -0.20 s / +0.80 s cue window and a 0.35 s global event cooldown to reduce duplicate multi-finger detections.</w:t>
      </w:r>
    </w:p>
    <w:p>
      <w:pPr>
        <w:pStyle w:val="Normal"/>
      </w:pPr>
      <w:r>
        <w:t xml:space="preserve">An initial two-hand piano guided run remained nearly unusable, with only 7.5% recall / target accuracy. Therefore, the final piano guided evaluation used a one-hand right-hand protocol covering only </w:t>
      </w:r>
      <w:r>
        <w:rPr>
          <w:rFonts w:ascii="Courier New" w:hAnsi="Courier New"/>
        </w:rPr>
        <w:t xml:space="preserve">C5–G5</w:t>
      </w:r>
      <w:r>
        <w:t xml:space="preserve">, with the tracker limited to one hand. This restriction directly targets the observed failure mode where simultaneous two-hand piano tracking produced unstable finger identity and very low note accuracy.</w:t>
      </w:r>
    </w:p>
    <w:p>
      <w:pPr>
        <w:pStyle w:val="Normal"/>
      </w:pPr>
      <w:r>
        <w:t xml:space="preserve">Figures 11 and 12 show the guided evaluator UI used for this measurement. Unlike the normal runtime screenshots in Section 2.2, these screens include the current cue, readiness countdown, cue index, target hint, and the accepted matching window.</w:t>
      </w:r>
    </w:p>
    <w:p>
      <w:pPr>
        <w:jc w:val="center"/>
      </w:pPr>
      <w:r>
        <w:drawing>
          <wp:inline distT="0" distB="0" distL="0" distR="0">
            <wp:extent cx="5608320" cy="4206240"/>
            <wp:docPr id="11" name="guided_eval_drum_live.png"/>
            <wp:cNvGraphicFramePr>
              <a:graphicFrameLocks noChangeAspect="1"/>
            </wp:cNvGraphicFramePr>
            <a:graphic>
              <a:graphicData uri="http://schemas.openxmlformats.org/drawingml/2006/picture">
                <pic:pic>
                  <pic:nvPicPr>
                    <pic:cNvPr id="11" name="guided_eval_drum_live.png"/>
                    <pic:cNvPicPr/>
                  </pic:nvPicPr>
                  <pic:blipFill>
                    <a:blip r:embed="rId11"/>
                    <a:stretch>
                      <a:fillRect/>
                    </a:stretch>
                  </pic:blipFill>
                  <pic:spPr>
                    <a:xfrm>
                      <a:off x="0" y="0"/>
                      <a:ext cx="5608320" cy="4206240"/>
                    </a:xfrm>
                    <a:prstGeom prst="rect">
                      <a:avLst/>
                    </a:prstGeom>
                  </pic:spPr>
                </pic:pic>
              </a:graphicData>
            </a:graphic>
          </wp:inline>
        </w:drawing>
      </w:r>
    </w:p>
    <w:p>
      <w:pPr>
        <w:pStyle w:val="Caption"/>
      </w:pPr>
      <w:r>
        <w:t xml:space="preserve">Figure 11. Guided drum evaluation screenshot showing the current pad cue and mirrored pad overlay.</w:t>
      </w:r>
    </w:p>
    <w:p>
      <w:pPr>
        <w:jc w:val="center"/>
      </w:pPr>
      <w:r>
        <w:drawing>
          <wp:inline distT="0" distB="0" distL="0" distR="0">
            <wp:extent cx="5608320" cy="4206240"/>
            <wp:docPr id="12" name="guided_eval_piano_live.png"/>
            <wp:cNvGraphicFramePr>
              <a:graphicFrameLocks noChangeAspect="1"/>
            </wp:cNvGraphicFramePr>
            <a:graphic>
              <a:graphicData uri="http://schemas.openxmlformats.org/drawingml/2006/picture">
                <pic:pic>
                  <pic:nvPicPr>
                    <pic:cNvPr id="12" name="guided_eval_piano_live.png"/>
                    <pic:cNvPicPr/>
                  </pic:nvPicPr>
                  <pic:blipFill>
                    <a:blip r:embed="rId12"/>
                    <a:stretch>
                      <a:fillRect/>
                    </a:stretch>
                  </pic:blipFill>
                  <pic:spPr>
                    <a:xfrm>
                      <a:off x="0" y="0"/>
                      <a:ext cx="5608320" cy="4206240"/>
                    </a:xfrm>
                    <a:prstGeom prst="rect">
                      <a:avLst/>
                    </a:prstGeom>
                  </pic:spPr>
                </pic:pic>
              </a:graphicData>
            </a:graphic>
          </wp:inline>
        </w:drawing>
      </w:r>
    </w:p>
    <w:p>
      <w:pPr>
        <w:pStyle w:val="Caption"/>
      </w:pPr>
      <w:r>
        <w:t xml:space="preserve">Figure 12. Guided piano evaluation screenshot showing the current note cue and suggested finger.</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Mode</w:t>
            </w:r>
          </w:p>
        </w:tc>
        <w:tc>
          <w:tcPr>
            <w:shd w:fill="E2E8F0"/>
          </w:tcPr>
          <w:p>
            <w:pPr>
              <w:pStyle w:val="Normal"/>
            </w:pPr>
            <w:r>
              <w:t xml:space="preserve">Scored cues</w:t>
            </w:r>
          </w:p>
        </w:tc>
        <w:tc>
          <w:tcPr>
            <w:shd w:fill="E2E8F0"/>
          </w:tcPr>
          <w:p>
            <w:pPr>
              <w:pStyle w:val="Normal"/>
            </w:pPr>
            <w:r>
              <w:t xml:space="preserve">TP</w:t>
            </w:r>
          </w:p>
        </w:tc>
        <w:tc>
          <w:tcPr>
            <w:shd w:fill="E2E8F0"/>
          </w:tcPr>
          <w:p>
            <w:pPr>
              <w:pStyle w:val="Normal"/>
            </w:pPr>
            <w:r>
              <w:t xml:space="preserve">FP</w:t>
            </w:r>
          </w:p>
        </w:tc>
        <w:tc>
          <w:tcPr>
            <w:shd w:fill="E2E8F0"/>
          </w:tcPr>
          <w:p>
            <w:pPr>
              <w:pStyle w:val="Normal"/>
            </w:pPr>
            <w:r>
              <w:t xml:space="preserve">FN</w:t>
            </w:r>
          </w:p>
        </w:tc>
        <w:tc>
          <w:tcPr>
            <w:shd w:fill="E2E8F0"/>
          </w:tcPr>
          <w:p>
            <w:pPr>
              <w:pStyle w:val="Normal"/>
            </w:pPr>
            <w:r>
              <w:t xml:space="preserve">Precision</w:t>
            </w:r>
          </w:p>
        </w:tc>
        <w:tc>
          <w:tcPr>
            <w:shd w:fill="E2E8F0"/>
          </w:tcPr>
          <w:p>
            <w:pPr>
              <w:pStyle w:val="Normal"/>
            </w:pPr>
            <w:r>
              <w:t xml:space="preserve">Recall / target accuracy</w:t>
            </w:r>
          </w:p>
        </w:tc>
        <w:tc>
          <w:tcPr>
            <w:shd w:fill="E2E8F0"/>
          </w:tcPr>
          <w:p>
            <w:pPr>
              <w:pStyle w:val="Normal"/>
            </w:pPr>
            <w:r>
              <w:t xml:space="preserve">Mean cue-to-detection latency</w:t>
            </w:r>
          </w:p>
        </w:tc>
      </w:tr>
      <w:tr>
        <w:tc>
          <w:tcPr/>
          <w:p>
            <w:pPr>
              <w:pStyle w:val="Normal"/>
            </w:pPr>
            <w:r>
              <w:t xml:space="preserve">Drum pads</w:t>
            </w:r>
          </w:p>
        </w:tc>
        <w:tc>
          <w:tcPr/>
          <w:p>
            <w:pPr>
              <w:pStyle w:val="Normal"/>
            </w:pPr>
            <w:r>
              <w:t xml:space="preserve">32</w:t>
            </w:r>
          </w:p>
        </w:tc>
        <w:tc>
          <w:tcPr/>
          <w:p>
            <w:pPr>
              <w:pStyle w:val="Normal"/>
            </w:pPr>
            <w:r>
              <w:t xml:space="preserve">11</w:t>
            </w:r>
          </w:p>
        </w:tc>
        <w:tc>
          <w:tcPr/>
          <w:p>
            <w:pPr>
              <w:pStyle w:val="Normal"/>
            </w:pPr>
            <w:r>
              <w:t xml:space="preserve">106</w:t>
            </w:r>
          </w:p>
        </w:tc>
        <w:tc>
          <w:tcPr/>
          <w:p>
            <w:pPr>
              <w:pStyle w:val="Normal"/>
            </w:pPr>
            <w:r>
              <w:t xml:space="preserve">21</w:t>
            </w:r>
          </w:p>
        </w:tc>
        <w:tc>
          <w:tcPr/>
          <w:p>
            <w:pPr>
              <w:pStyle w:val="Normal"/>
            </w:pPr>
            <w:r>
              <w:t xml:space="preserve">9.4%</w:t>
            </w:r>
          </w:p>
        </w:tc>
        <w:tc>
          <w:tcPr/>
          <w:p>
            <w:pPr>
              <w:pStyle w:val="Normal"/>
            </w:pPr>
            <w:r>
              <w:t xml:space="preserve">34.4%</w:t>
            </w:r>
          </w:p>
        </w:tc>
        <w:tc>
          <w:tcPr/>
          <w:p>
            <w:pPr>
              <w:pStyle w:val="Normal"/>
            </w:pPr>
            <w:r>
              <w:t xml:space="preserve">333 ms</w:t>
            </w:r>
          </w:p>
        </w:tc>
      </w:tr>
      <w:tr>
        <w:tc>
          <w:tcPr/>
          <w:p>
            <w:pPr>
              <w:pStyle w:val="Normal"/>
            </w:pPr>
            <w:r>
              <w:t xml:space="preserve">Piano, two hands (diagnostic)</w:t>
            </w:r>
          </w:p>
        </w:tc>
        <w:tc>
          <w:tcPr/>
          <w:p>
            <w:pPr>
              <w:pStyle w:val="Normal"/>
            </w:pPr>
            <w:r>
              <w:t xml:space="preserve">40</w:t>
            </w:r>
          </w:p>
        </w:tc>
        <w:tc>
          <w:tcPr/>
          <w:p>
            <w:pPr>
              <w:pStyle w:val="Normal"/>
            </w:pPr>
            <w:r>
              <w:t xml:space="preserve">3</w:t>
            </w:r>
          </w:p>
        </w:tc>
        <w:tc>
          <w:tcPr/>
          <w:p>
            <w:pPr>
              <w:pStyle w:val="Normal"/>
            </w:pPr>
            <w:r>
              <w:t xml:space="preserve">79</w:t>
            </w:r>
          </w:p>
        </w:tc>
        <w:tc>
          <w:tcPr/>
          <w:p>
            <w:pPr>
              <w:pStyle w:val="Normal"/>
            </w:pPr>
            <w:r>
              <w:t xml:space="preserve">37</w:t>
            </w:r>
          </w:p>
        </w:tc>
        <w:tc>
          <w:tcPr/>
          <w:p>
            <w:pPr>
              <w:pStyle w:val="Normal"/>
            </w:pPr>
            <w:r>
              <w:t xml:space="preserve">3.7%</w:t>
            </w:r>
          </w:p>
        </w:tc>
        <w:tc>
          <w:tcPr/>
          <w:p>
            <w:pPr>
              <w:pStyle w:val="Normal"/>
            </w:pPr>
            <w:r>
              <w:t xml:space="preserve">7.5%</w:t>
            </w:r>
          </w:p>
        </w:tc>
        <w:tc>
          <w:tcPr/>
          <w:p>
            <w:pPr>
              <w:pStyle w:val="Normal"/>
            </w:pPr>
            <w:r>
              <w:t xml:space="preserve">291 ms</w:t>
            </w:r>
          </w:p>
        </w:tc>
      </w:tr>
      <w:tr>
        <w:tc>
          <w:tcPr/>
          <w:p>
            <w:pPr>
              <w:pStyle w:val="Normal"/>
            </w:pPr>
            <w:r>
              <w:t xml:space="preserve">Piano, right hand only</w:t>
            </w:r>
          </w:p>
        </w:tc>
        <w:tc>
          <w:tcPr/>
          <w:p>
            <w:pPr>
              <w:pStyle w:val="Normal"/>
            </w:pPr>
            <w:r>
              <w:t xml:space="preserve">20</w:t>
            </w:r>
          </w:p>
        </w:tc>
        <w:tc>
          <w:tcPr/>
          <w:p>
            <w:pPr>
              <w:pStyle w:val="Normal"/>
            </w:pPr>
            <w:r>
              <w:t xml:space="preserve">3</w:t>
            </w:r>
          </w:p>
        </w:tc>
        <w:tc>
          <w:tcPr/>
          <w:p>
            <w:pPr>
              <w:pStyle w:val="Normal"/>
            </w:pPr>
            <w:r>
              <w:t xml:space="preserve">32</w:t>
            </w:r>
          </w:p>
        </w:tc>
        <w:tc>
          <w:tcPr/>
          <w:p>
            <w:pPr>
              <w:pStyle w:val="Normal"/>
            </w:pPr>
            <w:r>
              <w:t xml:space="preserve">17</w:t>
            </w:r>
          </w:p>
        </w:tc>
        <w:tc>
          <w:tcPr/>
          <w:p>
            <w:pPr>
              <w:pStyle w:val="Normal"/>
            </w:pPr>
            <w:r>
              <w:t xml:space="preserve">8.6%</w:t>
            </w:r>
          </w:p>
        </w:tc>
        <w:tc>
          <w:tcPr/>
          <w:p>
            <w:pPr>
              <w:pStyle w:val="Normal"/>
            </w:pPr>
            <w:r>
              <w:t xml:space="preserve">15.0%</w:t>
            </w:r>
          </w:p>
        </w:tc>
        <w:tc>
          <w:tcPr/>
          <w:p>
            <w:pPr>
              <w:pStyle w:val="Normal"/>
            </w:pPr>
            <w:r>
              <w:t xml:space="preserve">304 ms</w:t>
            </w:r>
          </w:p>
        </w:tc>
      </w:tr>
    </w:tbl>
    <w:p>
      <w:pPr>
        <w:jc w:val="center"/>
      </w:pPr>
      <w:r>
        <w:drawing>
          <wp:inline distT="0" distB="0" distL="0" distR="0">
            <wp:extent cx="5669280" cy="1820756"/>
            <wp:docPr id="13" name="guided_eval_results.png"/>
            <wp:cNvGraphicFramePr>
              <a:graphicFrameLocks noChangeAspect="1"/>
            </wp:cNvGraphicFramePr>
            <a:graphic>
              <a:graphicData uri="http://schemas.openxmlformats.org/drawingml/2006/picture">
                <pic:pic>
                  <pic:nvPicPr>
                    <pic:cNvPr id="13" name="guided_eval_results.png"/>
                    <pic:cNvPicPr/>
                  </pic:nvPicPr>
                  <pic:blipFill>
                    <a:blip r:embed="rId13"/>
                    <a:stretch>
                      <a:fillRect/>
                    </a:stretch>
                  </pic:blipFill>
                  <pic:spPr>
                    <a:xfrm>
                      <a:off x="0" y="0"/>
                      <a:ext cx="5669280" cy="1820756"/>
                    </a:xfrm>
                    <a:prstGeom prst="rect">
                      <a:avLst/>
                    </a:prstGeom>
                  </pic:spPr>
                </pic:pic>
              </a:graphicData>
            </a:graphic>
          </wp:inline>
        </w:drawing>
      </w:r>
    </w:p>
    <w:p>
      <w:pPr>
        <w:pStyle w:val="Caption"/>
      </w:pPr>
      <w:r>
        <w:t xml:space="preserve">Figure 13. Guided evaluation plot generated from the mirrored </w:t>
      </w:r>
      <w:r>
        <w:rPr>
          <w:rFonts w:ascii="Courier New" w:hAnsi="Courier New"/>
        </w:rPr>
        <w:t xml:space="preserve">npu-full</w:t>
      </w:r>
      <w:r>
        <w:t xml:space="preserve"> block-repetition drum, two-hand piano, and one-hand piano runs.</w:t>
      </w:r>
    </w:p>
    <w:p>
      <w:pPr>
        <w:pStyle w:val="Normal"/>
      </w:pPr>
      <w:r>
        <w:t xml:space="preserve">The drum-pad interface performed better than the piano interface because drum mode only requires the fingertip strike to land inside a visible rectangle, while piano mode requires stable hand side and finger identity. The two-hand piano diagnostic run confirms this difficulty: many strikes were detected, but most did not match the prompted note. Restricting piano evaluation to one right hand improved target accuracy from 7.5% to 15.0%, but the absolute value remains low and indicates that finger identity, mirrored-hand interpretation, and duplicate-strike suppression need more work. The cue-to-detection latency values include human reaction time and should not be interpreted as acoustic motion-to-speaker latency.</w:t>
      </w:r>
    </w:p>
    <w:p>
      <w:pPr>
        <w:pStyle w:val="Heading3"/>
      </w:pPr>
      <w:r>
        <w:t xml:space="preserve">7.4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7.5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Guided hit-accuracy results are preliminary</w:t>
      </w:r>
      <w:r>
        <w:t xml:space="preserve">: the pilot run has one performer and one slow tempo, and piano accuracy remains low without further calibration.</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Measure E2E audio latency using a high-speed camera and synchronized audio waveform.</w:t>
      </w:r>
    </w:p>
    <w:p>
      <w:pPr>
        <w:pStyle w:val="ListParagraph"/>
      </w:pPr>
      <w:r>
        <w:t xml:space="preserve">2. Run guided hit-accuracy trials for both modes at multiple tempos.</w:t>
      </w:r>
    </w:p>
    <w:p>
      <w:pPr>
        <w:pStyle w:val="ListParagraph"/>
      </w:pPr>
      <w:r>
        <w:t xml:space="preserve">3. Improve piano-specific calibration for finger identity, screen-side hand mapping, and per-user strike thresholds.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Expand the guided evaluation to more participants and longer randomized cue sequences.</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F. Zhang, V. Bazarevsky, A. Vakunov, A. Tkachenka, G. Sung, C.-L. Chang, and M. Grundmann, “MediaPipe Hands: On-device real-time hand tracking,” arXiv preprint arXiv:2006.10214, 2020. [Online]. Available: https://arxiv.org/abs/2006.10214. Accessed: May 27, 2026.</w:t>
      </w:r>
    </w:p>
    <w:p>
      <w:pPr>
        <w:pStyle w:val="Normal"/>
      </w:pPr>
      <w:r>
        <w:t xml:space="preserve">[2] Google AI Edge, “Hand landmarks detection guide,” Google AI for Developers. [Online]. Available: https://ai.google.dev/edge/mediapipe/solutions/vision/hand_landmarker. Accessed: May 27, 2026.</w:t>
      </w:r>
    </w:p>
    <w:p>
      <w:pPr>
        <w:pStyle w:val="Normal"/>
      </w:pPr>
      <w:r>
        <w:t xml:space="preserve">[3] OpenCV Team, “OpenCV modules,” OpenCV Documentation. [Online]. Available: https://docs.opencv.org/4.x/. Accessed: May 27, 2026.</w:t>
      </w:r>
    </w:p>
    <w:p>
      <w:pPr>
        <w:pStyle w:val="Normal"/>
      </w:pPr>
      <w:r>
        <w:t xml:space="preserve">[4] pygame developers, “Pygame front page—pygame v2.6.0 documentation,” pygame. [Online]. Available: https://www.pygame.org/docs/. Accessed: May 27, 2026.</w:t>
      </w:r>
    </w:p>
    <w:p>
      <w:pPr>
        <w:pStyle w:val="Normal"/>
      </w:pPr>
      <w:r>
        <w:t xml:space="preserve">[5] DEEPX, “Get Started,” DEEPX Developer. [Online]. Available: https://developer.deepx.ai/article/get-started/. Accessed: May 27, 2026.</w:t>
      </w:r>
    </w:p>
    <w:sectPr>
      <w:pgSz w:w="11906" w:h="16838"/>
      <w:pgMar w:top="900" w:right="900" w:bottom="900" w:left="900" w:header="720" w:footer="720"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rPr>
    </w:rPrDefault>
  </w:docDefaults>
  <w:style w:type="paragraph" w:default="1" w:styleId="Normal">
    <w:name w:val="Normal"/>
    <w:rPr>
      <w:rFonts w:ascii="Times New Roman" w:hAnsi="Times New Roman" w:eastAsia="Times New Roman" w:cs="Times New Roman"/>
      <w:sz w:val="20"/>
    </w:rPr>
  </w:style>
  <w:style w:type="paragraph" w:styleId="Heading1">
    <w:name w:val="heading 1"/>
    <w:basedOn w:val="Normal"/>
    <w:next w:val="Normal"/>
    <w:rPr>
      <w:b/>
      <w:rFonts w:ascii="Times New Roman" w:hAnsi="Times New Roman" w:eastAsia="Times New Roman" w:cs="Times New Roman"/>
      <w:sz w:val="34"/>
    </w:rPr>
  </w:style>
  <w:style w:type="paragraph" w:styleId="Heading2">
    <w:name w:val="heading 2"/>
    <w:basedOn w:val="Normal"/>
    <w:next w:val="Normal"/>
    <w:rPr>
      <w:b/>
      <w:rFonts w:ascii="Times New Roman" w:hAnsi="Times New Roman" w:eastAsia="Times New Roman" w:cs="Times New Roman"/>
      <w:sz w:val="28"/>
    </w:rPr>
  </w:style>
  <w:style w:type="paragraph" w:styleId="Heading3">
    <w:name w:val="heading 3"/>
    <w:basedOn w:val="Normal"/>
    <w:next w:val="Normal"/>
    <w:rPr>
      <w:b/>
      <w:rFonts w:ascii="Times New Roman" w:hAnsi="Times New Roman" w:eastAsia="Times New Roman" w:cs="Times New Roman"/>
      <w:sz w:val="24"/>
    </w:rPr>
  </w:style>
  <w:style w:type="paragraph" w:styleId="Heading4">
    <w:name w:val="heading 4"/>
    <w:basedOn w:val="Normal"/>
    <w:next w:val="Normal"/>
    <w:rPr>
      <w:b/>
      <w:rFonts w:ascii="Times New Roman" w:hAnsi="Times New Roman" w:eastAsia="Times New Roman" w:cs="Times New Roman"/>
      <w:sz w:val="22"/>
    </w:rPr>
  </w:style>
  <w:style w:type="paragraph" w:styleId="ListParagraph">
    <w:name w:val="List Paragraph"/>
    <w:basedOn w:val="Normal"/>
    <w:pPr>
      <w:ind w:left="360"/>
    </w:pPr>
  </w:style>
  <w:style w:type="paragraph" w:styleId="Caption">
    <w:name w:val="Caption"/>
    <w:basedOn w:val="Normal"/>
    <w:pPr>
      <w:jc w:val="center"/>
    </w:pPr>
    <w:rPr>
      <w:i/>
      <w:rFonts w:ascii="Times New Roman" w:hAnsi="Times New Roman" w:eastAsia="Times New Roman" w:cs="Times New Roman"/>
      <w:color w:val="475569"/>
      <w:sz w:val="18"/>
    </w:rPr>
  </w:style>
  <w:style w:type="paragraph" w:styleId="Code">
    <w:name w:val="Code"/>
    <w:basedOn w:val="Normal"/>
    <w:rPr>
      <w:rFonts w:ascii="Courier New" w:hAnsi="Courier New" w:eastAsia="Times New Roman" w:cs="Courier New"/>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s>
</file>