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for Contactless Musical Performance</w:t>
      </w:r>
    </w:p>
    <w:p>
      <w:pPr>
        <w:jc w:val="center"/>
      </w:pPr>
      <w:r>
        <w:drawing>
          <wp:inline distT="0" distB="0" distL="0" distR="0">
            <wp:extent cx="5669280" cy="1287079"/>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287079"/>
                    </a:xfrm>
                    <a:prstGeom prst="rect">
                      <a:avLst/>
                    </a:prstGeom>
                  </pic:spPr>
                </pic:pic>
              </a:graphicData>
            </a:graphic>
          </wp:inline>
        </w:drawing>
      </w:r>
    </w:p>
    <w:p>
      <w:pPr>
        <w:pStyle w:val="Caption"/>
      </w:pPr>
      <w:r>
        <w:t xml:space="preserve">PANDA project icon.</w:t>
      </w:r>
    </w:p>
    <w:p>
      <w:pPr>
        <w:pStyle w:val="Normal"/>
      </w:pPr>
      <w:r>
        <w:rPr>
          <w:b/>
          <w:bCs/>
        </w:rPr>
        <w:t xml:space="preserve">Acronym expansion:</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Final Report</w:t>
      </w:r>
    </w:p>
    <w:p>
      <w:pPr>
        <w:pStyle w:val="Normal"/>
      </w:pPr>
      <w:r>
        <w:rPr>
          <w:b/>
          <w:bCs/>
        </w:rPr>
        <w:t xml:space="preserve">Authors:</w:t>
      </w:r>
      <w:r>
        <w:t xml:space="preserve"> FILLME</w:t>
      </w:r>
    </w:p>
    <w:p>
      <w:pPr>
        <w:pStyle w:val="Normal"/>
      </w:pPr>
      <w:r>
        <w:rPr>
          <w:b/>
          <w:bCs/>
        </w:rPr>
        <w:t xml:space="preserve">Affiliation:</w:t>
      </w:r>
      <w:r>
        <w:t xml:space="preserve"> FILLME</w:t>
      </w:r>
    </w:p>
    <w:p>
      <w:pPr>
        <w:pStyle w:val="Normal"/>
      </w:pPr>
      <w:r>
        <w:rPr>
          <w:b/>
          <w:bCs/>
        </w:rPr>
        <w:t xml:space="preserve">Date:</w:t>
      </w:r>
      <w:r>
        <w:t xml:space="preserve"> 2026-05-27</w:t>
      </w:r>
    </w:p>
    <w:p>
      <w:pPr>
        <w:pStyle w:val="Normal"/>
      </w:pPr>
      <w:r>
        <w:rPr>
          <w:b/>
          <w:bCs/>
        </w:rPr>
        <w:t xml:space="preserve">Code availability:</w:t>
      </w:r>
      <w:r>
        <w:t xml:space="preserve"> Not publicly released.</w:t>
      </w:r>
    </w:p>
    <w:p>
      <w:pPr>
        <w:pStyle w:val="Normal"/>
      </w:pPr>
    </w:p>
    <w:p>
      <w:pPr>
        <w:pStyle w:val="Heading2"/>
      </w:pPr>
      <w:r>
        <w:t xml:space="preserve">Abstract</w:t>
      </w:r>
    </w:p>
    <w:p>
      <w:pPr>
        <w:pStyle w:val="Normal"/>
      </w:pPr>
      <w:r>
        <w:t xml:space="preserve">This report presents </w:t>
      </w:r>
      <w:r>
        <w:rPr>
          <w:b/>
          <w:bCs/>
        </w:rPr>
        <w:t xml:space="preserve">PANDA</w:t>
      </w:r>
      <w:r>
        <w:t xml:space="preserve">, short for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w:t>
      </w:r>
      <w:r>
        <w:rPr>
          <w:b/>
          <w:bCs/>
        </w:rPr>
        <w:t xml:space="preserve">drum pad mode</w:t>
      </w:r>
      <w:r>
        <w:t xml:space="preserve">, where any fingertip may strike an on-screen rectangular pad, and (2) a </w:t>
      </w:r>
      <w:r>
        <w:rPr>
          <w:b/>
          <w:bCs/>
        </w:rPr>
        <w:t xml:space="preserve">piano mode</w:t>
      </w:r>
      <w:r>
        <w:t xml:space="preserve">, where notes are mapped to hand and finger identity. The final piano default layout maps the left hand from thumb to pinky as </w:t>
      </w:r>
      <w:r>
        <w:rPr>
          <w:rFonts w:ascii="Courier New" w:hAnsi="Courier New"/>
        </w:rPr>
        <w:t xml:space="preserve">G4, F4, E4, D4, C4</w:t>
      </w:r>
      <w:r>
        <w:t xml:space="preserve"> and the right hand as </w:t>
      </w:r>
      <w:r>
        <w:rPr>
          <w:rFonts w:ascii="Courier New" w:hAnsi="Courier New"/>
        </w:rPr>
        <w:t xml:space="preserve">C5, D5, E5, F5, G5</w:t>
      </w:r>
      <w:r>
        <w:t xml:space="preserve">.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rPr>
          <w:b/>
          <w:bCs/>
        </w:rPr>
        <w:t xml:space="preserve">Keywords:</w:t>
      </w:r>
      <w:r>
        <w:t xml:space="preserve"> PANDA, contactless musical interface, hand tracking, gesture recognition, air drums, virtual piano, edge AI, NPU, real-time interaction</w:t>
      </w:r>
    </w:p>
    <w:p>
      <w:pPr>
        <w:pStyle w:val="Normal"/>
      </w:pP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w:t>
      </w:r>
      <w:r>
        <w:rPr>
          <w:b/>
          <w:bCs/>
        </w:rPr>
        <w:t xml:space="preserve">contactless musical instruments</w:t>
      </w:r>
      <w:r>
        <w:t xml:space="preserve">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w:t>
      </w:r>
      <w:r>
        <w:rPr>
          <w:b/>
          <w:bCs/>
        </w:rPr>
        <w:t xml:space="preserve">Fingertip downward velocity</w:t>
      </w:r>
      <w:r>
        <w:t xml:space="preserve">: the fingertip moves rapidly in the image direction associated with a striking motion.</w:t>
      </w:r>
    </w:p>
    <w:p>
      <w:pPr>
        <w:pStyle w:val="ListParagraph"/>
      </w:pPr>
      <w:r>
        <w:t xml:space="preserve">2. </w:t>
      </w:r>
      <w:r>
        <w:rPr>
          <w:b/>
          <w:bCs/>
        </w:rPr>
        <w:t xml:space="preserve">Finger-joint angular velocity</w:t>
      </w:r>
      <w:r>
        <w:t xml:space="preserve">: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w:t>
      </w:r>
      <w:r>
        <w:rPr>
          <w:b/>
          <w:bCs/>
        </w:rPr>
        <w:t xml:space="preserve">drum pad</w:t>
      </w:r>
      <w:r>
        <w:t xml:space="preserve"> and </w:t>
      </w:r>
      <w:r>
        <w:rPr>
          <w:b/>
          <w:bCs/>
        </w:rPr>
        <w:t xml:space="preserve">piano</w:t>
      </w:r>
      <w:r>
        <w:t xml:space="preserve">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w:t>
      </w:r>
      <w:r>
        <w:rPr>
          <w:rFonts w:ascii="Courier New" w:hAnsi="Courier New"/>
        </w:rPr>
        <w:t xml:space="preserve">G4</w:t>
      </w:r>
      <w:r>
        <w:t xml:space="preserve">, left pinky </w:t>
      </w:r>
      <w:r>
        <w:rPr>
          <w:rFonts w:ascii="Courier New" w:hAnsi="Courier New"/>
        </w:rPr>
        <w:t xml:space="preserve">C4</w:t>
      </w:r>
      <w:r>
        <w:t xml:space="preserve">, right hand </w:t>
      </w:r>
      <w:r>
        <w:rPr>
          <w:rFonts w:ascii="Courier New" w:hAnsi="Courier New"/>
        </w:rPr>
        <w:t xml:space="preserve">C5–G5</w:t>
      </w:r>
      <w:r>
        <w:t xml:space="preserve">.</w:t>
      </w:r>
    </w:p>
    <w:p>
      <w:pPr>
        <w:pStyle w:val="ListParagraph"/>
      </w:pPr>
      <w:r>
        <w:t xml:space="preserve">• A mirrored selfie-view display, enabled by default, so the performer's left/right hand motion matches the visible camera feed and on-screen targets.</w:t>
      </w:r>
    </w:p>
    <w:p>
      <w:pPr>
        <w:pStyle w:val="ListParagraph"/>
      </w:pPr>
      <w:r>
        <w:t xml:space="preserve">• Generated interface diagrams for both modes.</w:t>
      </w:r>
    </w:p>
    <w:p>
      <w:pPr>
        <w:pStyle w:val="ListParagraph"/>
      </w:pPr>
      <w:r>
        <w:t xml:space="preserve">• Report figures generated programmatically for system architecture, strike logic, and backend latency.</w:t>
      </w:r>
    </w:p>
    <w:p>
      <w:pPr>
        <w:pStyle w:val="ListParagraph"/>
      </w:pPr>
      <w:r>
        <w:t xml:space="preserve">• A repeatable validation pipeline covering mapping, detector behavior, pad validation, ROI helpers, and benchmark helpers.</w:t>
      </w:r>
    </w:p>
    <w:p>
      <w:pPr>
        <w:pStyle w:val="Normal"/>
      </w:pPr>
    </w:p>
    <w:p>
      <w:pPr>
        <w:pStyle w:val="Heading2"/>
      </w:pPr>
      <w:r>
        <w:t xml:space="preserve">2. System Overview</w:t>
      </w:r>
    </w:p>
    <w:p>
      <w:pPr>
        <w:pStyle w:val="Normal"/>
      </w:pPr>
      <w:r>
        <w:t xml:space="preserve">Figure 1 summarizes the runtime pipeline. Frames are captured from a USB camera using an OpenCV-based capture layer [3],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diagram generated programmatically for this report.</w:t>
      </w:r>
    </w:p>
    <w:p>
      <w:pPr>
        <w:pStyle w:val="Normal"/>
      </w:pPr>
      <w:r>
        <w:t xml:space="preserve">The same vision pipeline and strike detector support both musical modes. The mapping layer changes according to mode:</w:t>
      </w:r>
    </w:p>
    <w:p>
      <w:pPr>
        <w:pStyle w:val="ListParagraph"/>
      </w:pPr>
      <w:r>
        <w:t xml:space="preserve">• </w:t>
      </w:r>
      <w:r>
        <w:rPr>
          <w:b/>
          <w:bCs/>
        </w:rPr>
        <w:t xml:space="preserve">Piano mode:</w:t>
      </w:r>
      <w:r>
        <w:t xml:space="preserve"> </w:t>
      </w:r>
      <w:r>
        <w:rPr>
          <w:rFonts w:ascii="Courier New" w:hAnsi="Courier New"/>
        </w:rPr>
        <w:t xml:space="preserve">hand_id × fingertip_id → note name</w:t>
      </w:r>
      <w:r>
        <w:t xml:space="preserve">.</w:t>
      </w:r>
    </w:p>
    <w:p>
      <w:pPr>
        <w:pStyle w:val="ListParagraph"/>
      </w:pPr>
      <w:r>
        <w:t xml:space="preserve">• </w:t>
      </w:r>
      <w:r>
        <w:rPr>
          <w:b/>
          <w:bCs/>
        </w:rPr>
        <w:t xml:space="preserve">Drum mode:</w:t>
      </w:r>
      <w:r>
        <w:t xml:space="preserve"> </w:t>
      </w:r>
      <w:r>
        <w:rPr>
          <w:rFonts w:ascii="Courier New" w:hAnsi="Courier New"/>
        </w:rPr>
        <w:t xml:space="preserve">fingertip position inside pad rectangle → drum sound</w:t>
      </w:r>
      <w:r>
        <w:t xml:space="preserve">.</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programmatically for this report.</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programmatically for this report.</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w:t>
      </w:r>
      <w:r>
        <w:rPr>
          <w:b/>
          <w:bCs/>
        </w:rPr>
        <w:t xml:space="preserve">left thumb is G4</w:t>
      </w:r>
      <w:r>
        <w:t xml:space="preserve"> and the </w:t>
      </w:r>
      <w:r>
        <w:rPr>
          <w:b/>
          <w:bCs/>
        </w:rPr>
        <w:t xml:space="preserve">left pinky is C4</w:t>
      </w:r>
      <w:r>
        <w:t xml:space="preserve">,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programmatically for this report.</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programmatically for this report.</w:t>
      </w:r>
    </w:p>
    <w:p>
      <w:pPr>
        <w:pStyle w:val="Heading3"/>
      </w:pPr>
      <w:r>
        <w:t xml:space="preserve">2.2 Live Interface Screenshots</w:t>
      </w:r>
    </w:p>
    <w:p>
      <w:pPr>
        <w:pStyle w:val="Normal"/>
      </w:pPr>
      <w:r>
        <w:t xml:space="preserve">Live screenshots were captured from the guided evaluator after the mirror-view update. The drum screenshot shows rectangular pad targeting on the mirrored camera feed; the piano screenshot shows screen-side hand mapping with the current note and suggested finger.</w:t>
      </w:r>
    </w:p>
    <w:p>
      <w:pPr>
        <w:jc w:val="center"/>
      </w:pPr>
      <w:r>
        <w:drawing>
          <wp:inline distT="0" distB="0" distL="0" distR="0">
            <wp:extent cx="5500467" cy="4206240"/>
            <wp:docPr id="7" name="guided_eval_drum_live.png"/>
            <wp:cNvGraphicFramePr>
              <a:graphicFrameLocks noChangeAspect="1"/>
            </wp:cNvGraphicFramePr>
            <a:graphic>
              <a:graphicData uri="http://schemas.openxmlformats.org/drawingml/2006/picture">
                <pic:pic>
                  <pic:nvPicPr>
                    <pic:cNvPr id="7" name="guided_eval_drum_live.png"/>
                    <pic:cNvPicPr/>
                  </pic:nvPicPr>
                  <pic:blipFill>
                    <a:blip r:embed="rId7"/>
                    <a:stretch>
                      <a:fillRect/>
                    </a:stretch>
                  </pic:blipFill>
                  <pic:spPr>
                    <a:xfrm>
                      <a:off x="0" y="0"/>
                      <a:ext cx="5500467" cy="4206240"/>
                    </a:xfrm>
                    <a:prstGeom prst="rect">
                      <a:avLst/>
                    </a:prstGeom>
                  </pic:spPr>
                </pic:pic>
              </a:graphicData>
            </a:graphic>
          </wp:inline>
        </w:drawing>
      </w:r>
    </w:p>
    <w:p>
      <w:pPr>
        <w:pStyle w:val="Caption"/>
      </w:pPr>
      <w:r>
        <w:t xml:space="preserve">Figure 6. Live guided drum evaluation screenshot captured from the mirrored interface.</w:t>
      </w:r>
    </w:p>
    <w:p>
      <w:pPr>
        <w:jc w:val="center"/>
      </w:pPr>
      <w:r>
        <w:drawing>
          <wp:inline distT="0" distB="0" distL="0" distR="0">
            <wp:extent cx="5500467" cy="4206240"/>
            <wp:docPr id="8" name="guided_eval_piano_live.png"/>
            <wp:cNvGraphicFramePr>
              <a:graphicFrameLocks noChangeAspect="1"/>
            </wp:cNvGraphicFramePr>
            <a:graphic>
              <a:graphicData uri="http://schemas.openxmlformats.org/drawingml/2006/picture">
                <pic:pic>
                  <pic:nvPicPr>
                    <pic:cNvPr id="8" name="guided_eval_piano_live.png"/>
                    <pic:cNvPicPr/>
                  </pic:nvPicPr>
                  <pic:blipFill>
                    <a:blip r:embed="rId8"/>
                    <a:stretch>
                      <a:fillRect/>
                    </a:stretch>
                  </pic:blipFill>
                  <pic:spPr>
                    <a:xfrm>
                      <a:off x="0" y="0"/>
                      <a:ext cx="5500467" cy="4206240"/>
                    </a:xfrm>
                    <a:prstGeom prst="rect">
                      <a:avLst/>
                    </a:prstGeom>
                  </pic:spPr>
                </pic:pic>
              </a:graphicData>
            </a:graphic>
          </wp:inline>
        </w:drawing>
      </w:r>
    </w:p>
    <w:p>
      <w:pPr>
        <w:pStyle w:val="Caption"/>
      </w:pPr>
      <w:r>
        <w:t xml:space="preserve">Figure 7. Live guided piano evaluation screenshot captured from the mirrored interface.</w:t>
      </w:r>
    </w:p>
    <w:p>
      <w:pPr>
        <w:pStyle w:val="Normal"/>
      </w:pP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such as MediaPipe Hands [1] and the MediaPipe Hand Landmarker task [2]: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8 shows the decision logic.</w:t>
      </w:r>
    </w:p>
    <w:p>
      <w:pPr>
        <w:jc w:val="center"/>
      </w:pPr>
      <w:r>
        <w:drawing>
          <wp:inline distT="0" distB="0" distL="0" distR="0">
            <wp:extent cx="5669280" cy="3382670"/>
            <wp:docPr id="9" name="strike_logic.png"/>
            <wp:cNvGraphicFramePr>
              <a:graphicFrameLocks noChangeAspect="1"/>
            </wp:cNvGraphicFramePr>
            <a:graphic>
              <a:graphicData uri="http://schemas.openxmlformats.org/drawingml/2006/picture">
                <pic:pic>
                  <pic:nvPicPr>
                    <pic:cNvPr id="9" name="strike_logic.png"/>
                    <pic:cNvPicPr/>
                  </pic:nvPicPr>
                  <pic:blipFill>
                    <a:blip r:embed="rId9"/>
                    <a:stretch>
                      <a:fillRect/>
                    </a:stretch>
                  </pic:blipFill>
                  <pic:spPr>
                    <a:xfrm>
                      <a:off x="0" y="0"/>
                      <a:ext cx="5669280" cy="3382670"/>
                    </a:xfrm>
                    <a:prstGeom prst="rect">
                      <a:avLst/>
                    </a:prstGeom>
                  </pic:spPr>
                </pic:pic>
              </a:graphicData>
            </a:graphic>
          </wp:inline>
        </w:drawing>
      </w:r>
    </w:p>
    <w:p>
      <w:pPr>
        <w:pStyle w:val="Caption"/>
      </w:pPr>
      <w:r>
        <w:t xml:space="preserve">Figure 8. Strike-decision logic diagram generated programmatically for this report.</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implemented as the default runtime note configuration and is mirrored in the custom piano-layout configuration used to generate the example figure.</w:t>
      </w:r>
    </w:p>
    <w:p>
      <w:pPr>
        <w:pStyle w:val="Heading3"/>
      </w:pPr>
      <w:r>
        <w:t xml:space="preserve">4.5 Audio Generation</w:t>
      </w:r>
    </w:p>
    <w:p>
      <w:pPr>
        <w:pStyle w:val="Normal"/>
      </w:pPr>
      <w:r>
        <w:t xml:space="preserve">The system pre-renders synthetic drum and piano sounds into </w:t>
      </w:r>
      <w:r>
        <w:rPr>
          <w:rFonts w:ascii="Courier New" w:hAnsi="Courier New"/>
        </w:rPr>
        <w:t xml:space="preserve">pygame.mixer.Sound</w:t>
      </w:r>
      <w:r>
        <w:t xml:space="preserve"> objects [4] to avoid synthesizing audio on every strike. Piano tones are approximately 0.5 seconds long. Short drum samples were lengthened so triggered sounds remain audible despite perception and output latency.</w:t>
      </w:r>
    </w:p>
    <w:p>
      <w:pPr>
        <w:pStyle w:val="Normal"/>
      </w:pPr>
    </w:p>
    <w:p>
      <w:pPr>
        <w:pStyle w:val="Heading2"/>
      </w:pPr>
      <w:r>
        <w:t xml:space="preserve">5. Implementation</w:t>
      </w:r>
    </w:p>
    <w:p>
      <w:pPr>
        <w:pStyle w:val="Heading3"/>
      </w:pPr>
      <w:r>
        <w:t xml:space="preserve">5.1 Runtime Backends</w:t>
      </w:r>
    </w:p>
    <w:p>
      <w:pPr>
        <w:pStyle w:val="Normal"/>
      </w:pPr>
      <w:r>
        <w:t xml:space="preserve">The application supports four major backend configurations, including MediaPipe-based CPU inference [1], [2] and DEEPX </w:t>
      </w:r>
      <w:r>
        <w:rPr>
          <w:rFonts w:ascii="Courier New" w:hAnsi="Courier New"/>
        </w:rPr>
        <w:t xml:space="preserve">.dxnn</w:t>
      </w:r>
      <w:r>
        <w:t xml:space="preserve"> NPU execution through the DXNN toolchain [5].</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rPr>
                <w:rFonts w:ascii="Courier New" w:hAnsi="Courier New"/>
              </w:rPr>
              <w:t xml:space="preserve">cpu</w:t>
            </w:r>
          </w:p>
        </w:tc>
        <w:tc>
          <w:tcPr/>
          <w:p>
            <w:pPr>
              <w:pStyle w:val="Normal"/>
            </w:pPr>
            <w:r>
              <w:t xml:space="preserve">MediaPipe internal [1], [2]</w:t>
            </w:r>
          </w:p>
        </w:tc>
        <w:tc>
          <w:tcPr/>
          <w:p>
            <w:pPr>
              <w:pStyle w:val="Normal"/>
            </w:pPr>
            <w:r>
              <w:t xml:space="preserve">MediaPipe internal [1], [2]</w:t>
            </w:r>
          </w:p>
        </w:tc>
        <w:tc>
          <w:tcPr/>
          <w:p>
            <w:pPr>
              <w:pStyle w:val="Normal"/>
            </w:pPr>
            <w:r>
              <w:t xml:space="preserve">Simple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Accurate palm pipeline with NPU hand inference</w:t>
            </w:r>
          </w:p>
        </w:tc>
      </w:tr>
      <w:tr>
        <w:tc>
          <w:tcPr/>
          <w:p>
            <w:pPr>
              <w:pStyle w:val="Normal"/>
            </w:pPr>
            <w:r>
              <w:rPr>
                <w:rFonts w:ascii="Courier New" w:hAnsi="Courier New"/>
              </w:rPr>
              <w:t xml:space="preserve">npu</w:t>
            </w:r>
          </w:p>
        </w:tc>
        <w:tc>
          <w:tcPr/>
          <w:p>
            <w:pPr>
              <w:pStyle w:val="Normal"/>
            </w:pPr>
            <w:r>
              <w:t xml:space="preserve">none / dual-halves approximation</w:t>
            </w:r>
          </w:p>
        </w:tc>
        <w:tc>
          <w:tcPr/>
          <w:p>
            <w:pPr>
              <w:pStyle w:val="Normal"/>
            </w:pPr>
            <w:r>
              <w:t xml:space="preserve">NPU </w:t>
            </w:r>
            <w:r>
              <w:rPr>
                <w:rFonts w:ascii="Courier New" w:hAnsi="Courier New"/>
              </w:rPr>
              <w:t xml:space="preserve">.dxnn</w:t>
            </w:r>
          </w:p>
        </w:tc>
        <w:tc>
          <w:tcPr/>
          <w:p>
            <w:pPr>
              <w:pStyle w:val="Normal"/>
            </w:pPr>
            <w:r>
              <w:t xml:space="preserve">Fastest low-latency approximation</w:t>
            </w:r>
          </w:p>
        </w:tc>
      </w:tr>
    </w:tbl>
    <w:p>
      <w:pPr>
        <w:pStyle w:val="Normal"/>
      </w:pPr>
      <w:r>
        <w:t xml:space="preserve">The NPU-full path is architecturally preferred for accurate hand localization, but CPU palm detection dominates latency. The dual-halves NPU mode is faster because it removes palm detection, but it is a geometric approximation and should be evaluated under the target camera setup.</w:t>
      </w:r>
    </w:p>
    <w:p>
      <w:pPr>
        <w:pStyle w:val="Heading3"/>
      </w:pPr>
      <w:r>
        <w:t xml:space="preserve">5.2 User Interface</w:t>
      </w:r>
    </w:p>
    <w:p>
      <w:pPr>
        <w:pStyle w:val="Normal"/>
      </w:pPr>
      <w:r>
        <w:t xml:space="preserve">The runtime display contains the camera feed, hand/finger landmark trails, mode-specific overlays, and a sidebar. The camera feed is mirrored by default, producing a selfie-style interface in which moving a hand leftward in physical space also moves it leftward on the screen. This small interface detail is important for playability: without the mirror flip, the performer must mentally invert left/right motion while aiming at drum pads or piano cues. A </w:t>
      </w:r>
      <w:r>
        <w:rPr>
          <w:rFonts w:ascii="Courier New" w:hAnsi="Courier New"/>
        </w:rPr>
        <w:t xml:space="preserve">--no-mirror</w:t>
      </w:r>
      <w:r>
        <w:t xml:space="preserve"> option remains available for camera setups that already provide mirrored input.</w:t>
      </w:r>
    </w:p>
    <w:p>
      <w:pPr>
        <w:pStyle w:val="Normal"/>
      </w:pPr>
      <w:r>
        <w:t xml:space="preserve">In drum mode, rectangles are drawn directly on the mirrored camera feed and flash briefly when hit. In piano mode, the note mapping is also tied to screen side rather than raw tracker hand order: the screen-left hand maps to the left-hand notes and the screen-right hand maps to the right-hand notes. This prevents note assignments from changing when the hand tracker changes the order of detected hands.</w:t>
      </w:r>
    </w:p>
    <w:p>
      <w:pPr>
        <w:pStyle w:val="Normal"/>
      </w:pPr>
      <w:r>
        <w:t xml:space="preserve">The generated diagrams are used both as report figures and as sidebar assets, keeping the report and runtime UI consistent.</w:t>
      </w:r>
    </w:p>
    <w:p>
      <w:pPr>
        <w:pStyle w:val="Normal"/>
      </w:pPr>
    </w:p>
    <w:p>
      <w:pPr>
        <w:pStyle w:val="Heading2"/>
      </w:pPr>
      <w:r>
        <w:t xml:space="preserve">6. Experimental Methodology</w:t>
      </w:r>
    </w:p>
    <w:p>
      <w:pPr>
        <w:pStyle w:val="Heading3"/>
      </w:pPr>
      <w:r>
        <w:t xml:space="preserve">6.1 Software Validation</w:t>
      </w:r>
    </w:p>
    <w:p>
      <w:pPr>
        <w:pStyle w:val="Normal"/>
      </w:pPr>
      <w:r>
        <w:t xml:space="preserve">The validation suite performs Python syntax checks, unit tests, and palm decode tests. Hardware-dependent benchmark smoke tests are separated from the default quality gate so that the report can distinguish portable software validation from board-specific performance evaluation.</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rPr>
                <w:rFonts w:ascii="Courier New" w:hAnsi="Courier New"/>
              </w:rPr>
              <w:t xml:space="preserve">cpu</w:t>
            </w:r>
            <w:r>
              <w:t xml:space="preserve">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rPr>
                <w:rFonts w:ascii="Courier New" w:hAnsi="Courier New"/>
              </w:rPr>
              <w:t xml:space="preserve">cpu-baseline</w:t>
            </w:r>
          </w:p>
        </w:tc>
        <w:tc>
          <w:tcPr/>
          <w:p>
            <w:pPr>
              <w:pStyle w:val="Normal"/>
            </w:pPr>
            <w:r>
              <w:t xml:space="preserve">Palm TFLite + hand landmark TFLite, both on CPU</w:t>
            </w:r>
          </w:p>
        </w:tc>
        <w:tc>
          <w:tcPr/>
          <w:p>
            <w:pPr>
              <w:pStyle w:val="Normal"/>
            </w:pPr>
            <w:r>
              <w:t xml:space="preserve">Uses the same two-stage palm→ROI→hand structure as </w:t>
            </w:r>
            <w:r>
              <w:rPr>
                <w:rFonts w:ascii="Courier New" w:hAnsi="Courier New"/>
              </w:rPr>
              <w:t xml:space="preserve">npu-full</w:t>
            </w:r>
            <w:r>
              <w:t xml:space="preserve">, so it isolates whether replacing only hand inference with NPU is beneficial</w:t>
            </w:r>
          </w:p>
        </w:tc>
      </w:tr>
      <w:tr>
        <w:tc>
          <w:tcPr/>
          <w:p>
            <w:pPr>
              <w:pStyle w:val="Normal"/>
            </w:pPr>
            <w:r>
              <w:rPr>
                <w:rFonts w:ascii="Courier New" w:hAnsi="Courier New"/>
              </w:rPr>
              <w:t xml:space="preserve">npu-full</w:t>
            </w:r>
          </w:p>
        </w:tc>
        <w:tc>
          <w:tcPr/>
          <w:p>
            <w:pPr>
              <w:pStyle w:val="Normal"/>
            </w:pPr>
            <w:r>
              <w:t xml:space="preserve">Palm TFLite on CPU + hand landmark </w:t>
            </w:r>
            <w:r>
              <w:rPr>
                <w:rFonts w:ascii="Courier New" w:hAnsi="Courier New"/>
              </w:rPr>
              <w:t xml:space="preserve">.dxnn</w:t>
            </w:r>
            <w:r>
              <w:t xml:space="preserve"> on NPU</w:t>
            </w:r>
          </w:p>
        </w:tc>
        <w:tc>
          <w:tcPr/>
          <w:p>
            <w:pPr>
              <w:pStyle w:val="Normal"/>
            </w:pPr>
            <w:r>
              <w:t xml:space="preserve">Tests the intended accurate hybrid edge-AI pipeline while preserving reliable float32 palm detection</w:t>
            </w:r>
          </w:p>
        </w:tc>
      </w:tr>
      <w:tr>
        <w:tc>
          <w:tcPr/>
          <w:p>
            <w:pPr>
              <w:pStyle w:val="Normal"/>
            </w:pPr>
            <w:r>
              <w:rPr>
                <w:rFonts w:ascii="Courier New" w:hAnsi="Courier New"/>
              </w:rPr>
              <w:t xml:space="preserve">npu</w:t>
            </w:r>
            <w:r>
              <w:t xml:space="preserve"> dual-halves</w:t>
            </w:r>
          </w:p>
        </w:tc>
        <w:tc>
          <w:tcPr/>
          <w:p>
            <w:pPr>
              <w:pStyle w:val="Normal"/>
            </w:pPr>
            <w:r>
              <w:t xml:space="preserve">No palm detector; screen split into two approximate hand regions; hand landmark </w:t>
            </w:r>
            <w:r>
              <w:rPr>
                <w:rFonts w:ascii="Courier New" w:hAnsi="Courier New"/>
              </w:rPr>
              <w:t xml:space="preserve">.dxnn</w:t>
            </w:r>
            <w:r>
              <w:t xml:space="preserve">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w:t>
      </w:r>
      <w:r>
        <w:rPr>
          <w:b/>
          <w:bCs/>
        </w:rPr>
        <w:t xml:space="preserve">vision-loop latency</w:t>
      </w:r>
      <w:r>
        <w:t xml:space="preserve">: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r>
              <w:t xml:space="preserve"> [5]</w:t>
            </w:r>
          </w:p>
        </w:tc>
        <w:tc>
          <w:tcPr/>
          <w:p>
            <w:pPr>
              <w:pStyle w:val="Normal"/>
            </w:pPr>
            <w:r>
              <w:t xml:space="preserve">1.1.4</w:t>
            </w:r>
          </w:p>
        </w:tc>
      </w:tr>
      <w:tr>
        <w:tc>
          <w:tcPr/>
          <w:p>
            <w:pPr>
              <w:pStyle w:val="Normal"/>
            </w:pPr>
            <w:r>
              <w:t xml:space="preserve">DX-COM [5]</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w:t>
            </w:r>
            <w:r>
              <w:rPr>
                <w:rFonts w:ascii="Courier New" w:hAnsi="Courier New"/>
              </w:rPr>
              <w:t xml:space="preserve">dataset/frame_*.png</w:t>
            </w:r>
          </w:p>
        </w:tc>
      </w:tr>
    </w:tbl>
    <w:p>
      <w:pPr>
        <w:pStyle w:val="Normal"/>
      </w:pPr>
      <w:r>
        <w:t xml:space="preserve">The palm detector was also tested as an NPU </w:t>
      </w:r>
      <w:r>
        <w:rPr>
          <w:rFonts w:ascii="Courier New" w:hAnsi="Courier New"/>
        </w:rPr>
        <w:t xml:space="preserve">.dxnn</w:t>
      </w:r>
      <w:r>
        <w:t xml:space="preserve">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3121835"/>
            <wp:docPr id="10" name="backend_latency.png"/>
            <wp:cNvGraphicFramePr>
              <a:graphicFrameLocks noChangeAspect="1"/>
            </wp:cNvGraphicFramePr>
            <a:graphic>
              <a:graphicData uri="http://schemas.openxmlformats.org/drawingml/2006/picture">
                <pic:pic>
                  <pic:nvPicPr>
                    <pic:cNvPr id="10" name="backend_latency.png"/>
                    <pic:cNvPicPr/>
                  </pic:nvPicPr>
                  <pic:blipFill>
                    <a:blip r:embed="rId10"/>
                    <a:stretch>
                      <a:fillRect/>
                    </a:stretch>
                  </pic:blipFill>
                  <pic:spPr>
                    <a:xfrm>
                      <a:off x="0" y="0"/>
                      <a:ext cx="5669280" cy="3121835"/>
                    </a:xfrm>
                    <a:prstGeom prst="rect">
                      <a:avLst/>
                    </a:prstGeom>
                  </pic:spPr>
                </pic:pic>
              </a:graphicData>
            </a:graphic>
          </wp:inline>
        </w:drawing>
      </w:r>
    </w:p>
    <w:p>
      <w:pPr>
        <w:pStyle w:val="Caption"/>
      </w:pPr>
      <w:r>
        <w:t xml:space="preserve">Figure 9. Backend latency comparison generated programmatically for this report.</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w:t>
      </w:r>
      <w:r>
        <w:rPr>
          <w:b/>
          <w:bCs/>
        </w:rPr>
        <w:t xml:space="preserve">End-to-end audio latency:</w:t>
      </w:r>
      <w:r>
        <w:t xml:space="preserve"> record the performer's hand and the speaker output simultaneously using a high-speed camera or synchronized audio/video setup. For each strike, identify the video frame where the downward hit begins and the first audio waveform onset at the speaker. Compute </w:t>
      </w:r>
      <w:r>
        <w:rPr>
          <w:rFonts w:ascii="Courier New" w:hAnsi="Courier New"/>
        </w:rPr>
        <w:t xml:space="preserve">Delta t = t_audio - t_video</w:t>
      </w:r>
      <w:r>
        <w:t xml:space="preserve">. Use at least 30 strikes per mode and report mean, standard deviation, and P95 latency.</w:t>
      </w:r>
    </w:p>
    <w:p>
      <w:pPr>
        <w:pStyle w:val="ListParagraph"/>
      </w:pPr>
      <w:r>
        <w:t xml:space="preserve">2. </w:t>
      </w:r>
      <w:r>
        <w:rPr>
          <w:b/>
          <w:bCs/>
        </w:rPr>
        <w:t xml:space="preserve">Hit accuracy:</w:t>
      </w:r>
      <w:r>
        <w:t xml:space="preserve"> run guided trials in both drum and piano modes using the built-in visual/audio cue evaluator. The evaluator displays a predefined beat sequence, records detected strike events, matches events to scheduled cues, and exports </w:t>
      </w:r>
      <w:r>
        <w:rPr>
          <w:rFonts w:ascii="Courier New" w:hAnsi="Courier New"/>
        </w:rPr>
        <w:t xml:space="preserve">cues.csv</w:t>
      </w:r>
      <w:r>
        <w:t xml:space="preserve">, </w:t>
      </w:r>
      <w:r>
        <w:rPr>
          <w:rFonts w:ascii="Courier New" w:hAnsi="Courier New"/>
        </w:rPr>
        <w:t xml:space="preserve">events.csv</w:t>
      </w:r>
      <w:r>
        <w:t xml:space="preserve">, </w:t>
      </w:r>
      <w:r>
        <w:rPr>
          <w:rFonts w:ascii="Courier New" w:hAnsi="Courier New"/>
        </w:rPr>
        <w:t xml:space="preserve">matches.csv</w:t>
      </w:r>
      <w:r>
        <w:t xml:space="preserve">, </w:t>
      </w:r>
      <w:r>
        <w:rPr>
          <w:rFonts w:ascii="Courier New" w:hAnsi="Courier New"/>
        </w:rPr>
        <w:t xml:space="preserve">summary.json</w:t>
      </w:r>
      <w:r>
        <w:t xml:space="preserve">, </w:t>
      </w:r>
      <w:r>
        <w:rPr>
          <w:rFonts w:ascii="Courier New" w:hAnsi="Courier New"/>
        </w:rPr>
        <w:t xml:space="preserve">summary.md</w:t>
      </w:r>
      <w:r>
        <w:t xml:space="preserve">, and an optional review video. A true positive is an intended strike detected within the allowed time window. A false negative is an intended strike with no valid event. A false positive is an unintended or duplicate event outside the allowed window. The pilot guided results are reported in Section 7.3.</w:t>
      </w:r>
    </w:p>
    <w:p>
      <w:pPr>
        <w:pStyle w:val="ListParagraph"/>
      </w:pPr>
      <w:r>
        <w:t xml:space="preserve">3. </w:t>
      </w:r>
      <w:r>
        <w:rPr>
          <w:b/>
          <w:bCs/>
        </w:rPr>
        <w:t xml:space="preserve">Per-run logging:</w:t>
      </w:r>
      <w:r>
        <w:t xml:space="preserve"> retain the internal build identifier, backend, camera resolution, model checksums,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lighting conditions, and raw event log fields such as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and </w:t>
      </w:r>
      <w:r>
        <w:rPr>
          <w:rFonts w:ascii="Courier New" w:hAnsi="Courier New"/>
        </w:rPr>
        <w:t xml:space="preserve">trigger</w:t>
      </w:r>
      <w:r>
        <w:t xml:space="preserve">.</w:t>
      </w:r>
    </w:p>
    <w:p>
      <w:pPr>
        <w:pStyle w:val="Normal"/>
      </w:pPr>
      <w:r>
        <w:t xml:space="preserve">The following figure is still a placeholder because it requires synchronized high-speed video/audio capture.</w:t>
      </w:r>
    </w:p>
    <w:p>
      <w:pPr>
        <w:pStyle w:val="Caption"/>
      </w:pPr>
      <w:r>
        <w:t xml:space="preserve">[FILLME image placeholder: FILLME: high-speed-camera setup showing hand motion and speaker/audio waveform for E2E latency measurement.]</w:t>
      </w:r>
    </w:p>
    <w:p>
      <w:pPr>
        <w:pStyle w:val="Normal"/>
      </w:pP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sidebar.</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34/34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in the portable validation run</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dataset capture indexing, and the guided evaluation cue/matching/output helpers.</w:t>
      </w:r>
    </w:p>
    <w:p>
      <w:pPr>
        <w:pStyle w:val="Heading3"/>
      </w:pPr>
      <w:r>
        <w:t xml:space="preserve">7.3 Guided Live Evaluation Results</w:t>
      </w:r>
    </w:p>
    <w:p>
      <w:pPr>
        <w:pStyle w:val="Normal"/>
      </w:pPr>
      <w:r>
        <w:t xml:space="preserve">A guided live evaluation was run on May 27, 2026 using the mirrored camera interface, CPU MediaPipe backend, strict strike thresholds, and global event consolidation to reduce duplicate multi-finger hits. The sequence was intentionally slow so that the performer could read the on-screen target before moving: 15 BPM, one pass through each target list, 7 s lead-in, and a 2.0 s post-cue matching window. The evaluator records one accepted output event per 1.2 s global cooldown interval and suppresses extra simultaneous candidates from the same physical motion.</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Mode</w:t>
            </w:r>
          </w:p>
        </w:tc>
        <w:tc>
          <w:tcPr>
            <w:shd w:fill="E2E8F0"/>
          </w:tcPr>
          <w:p>
            <w:pPr>
              <w:pStyle w:val="Normal"/>
            </w:pPr>
            <w:r>
              <w:t xml:space="preserve">Cues</w:t>
            </w:r>
          </w:p>
        </w:tc>
        <w:tc>
          <w:tcPr>
            <w:shd w:fill="E2E8F0"/>
          </w:tcPr>
          <w:p>
            <w:pPr>
              <w:pStyle w:val="Normal"/>
            </w:pPr>
            <w:r>
              <w:t xml:space="preserve">TP</w:t>
            </w:r>
          </w:p>
        </w:tc>
        <w:tc>
          <w:tcPr>
            <w:shd w:fill="E2E8F0"/>
          </w:tcPr>
          <w:p>
            <w:pPr>
              <w:pStyle w:val="Normal"/>
            </w:pPr>
            <w:r>
              <w:t xml:space="preserve">FP</w:t>
            </w:r>
          </w:p>
        </w:tc>
        <w:tc>
          <w:tcPr>
            <w:shd w:fill="E2E8F0"/>
          </w:tcPr>
          <w:p>
            <w:pPr>
              <w:pStyle w:val="Normal"/>
            </w:pPr>
            <w:r>
              <w:t xml:space="preserve">FN</w:t>
            </w:r>
          </w:p>
        </w:tc>
        <w:tc>
          <w:tcPr>
            <w:shd w:fill="E2E8F0"/>
          </w:tcPr>
          <w:p>
            <w:pPr>
              <w:pStyle w:val="Normal"/>
            </w:pPr>
            <w:r>
              <w:t xml:space="preserve">Precision</w:t>
            </w:r>
          </w:p>
        </w:tc>
        <w:tc>
          <w:tcPr>
            <w:shd w:fill="E2E8F0"/>
          </w:tcPr>
          <w:p>
            <w:pPr>
              <w:pStyle w:val="Normal"/>
            </w:pPr>
            <w:r>
              <w:t xml:space="preserve">Recall / target accuracy</w:t>
            </w:r>
          </w:p>
        </w:tc>
        <w:tc>
          <w:tcPr>
            <w:shd w:fill="E2E8F0"/>
          </w:tcPr>
          <w:p>
            <w:pPr>
              <w:pStyle w:val="Normal"/>
            </w:pPr>
            <w:r>
              <w:t xml:space="preserve">Mean cue-to-detection latency</w:t>
            </w:r>
          </w:p>
        </w:tc>
      </w:tr>
      <w:tr>
        <w:tc>
          <w:tcPr/>
          <w:p>
            <w:pPr>
              <w:pStyle w:val="Normal"/>
            </w:pPr>
            <w:r>
              <w:t xml:space="preserve">Drum pads</w:t>
            </w:r>
          </w:p>
        </w:tc>
        <w:tc>
          <w:tcPr/>
          <w:p>
            <w:pPr>
              <w:pStyle w:val="Normal"/>
            </w:pPr>
            <w:r>
              <w:t xml:space="preserve">8</w:t>
            </w:r>
          </w:p>
        </w:tc>
        <w:tc>
          <w:tcPr/>
          <w:p>
            <w:pPr>
              <w:pStyle w:val="Normal"/>
            </w:pPr>
            <w:r>
              <w:t xml:space="preserve">7</w:t>
            </w:r>
          </w:p>
        </w:tc>
        <w:tc>
          <w:tcPr/>
          <w:p>
            <w:pPr>
              <w:pStyle w:val="Normal"/>
            </w:pPr>
            <w:r>
              <w:t xml:space="preserve">9</w:t>
            </w:r>
          </w:p>
        </w:tc>
        <w:tc>
          <w:tcPr/>
          <w:p>
            <w:pPr>
              <w:pStyle w:val="Normal"/>
            </w:pPr>
            <w:r>
              <w:t xml:space="preserve">1</w:t>
            </w:r>
          </w:p>
        </w:tc>
        <w:tc>
          <w:tcPr/>
          <w:p>
            <w:pPr>
              <w:pStyle w:val="Normal"/>
            </w:pPr>
            <w:r>
              <w:t xml:space="preserve">43.8%</w:t>
            </w:r>
          </w:p>
        </w:tc>
        <w:tc>
          <w:tcPr/>
          <w:p>
            <w:pPr>
              <w:pStyle w:val="Normal"/>
            </w:pPr>
            <w:r>
              <w:t xml:space="preserve">87.5%</w:t>
            </w:r>
          </w:p>
        </w:tc>
        <w:tc>
          <w:tcPr/>
          <w:p>
            <w:pPr>
              <w:pStyle w:val="Normal"/>
            </w:pPr>
            <w:r>
              <w:t xml:space="preserve">660 ms</w:t>
            </w:r>
          </w:p>
        </w:tc>
      </w:tr>
      <w:tr>
        <w:tc>
          <w:tcPr/>
          <w:p>
            <w:pPr>
              <w:pStyle w:val="Normal"/>
            </w:pPr>
            <w:r>
              <w:t xml:space="preserve">Piano</w:t>
            </w:r>
          </w:p>
        </w:tc>
        <w:tc>
          <w:tcPr/>
          <w:p>
            <w:pPr>
              <w:pStyle w:val="Normal"/>
            </w:pPr>
            <w:r>
              <w:t xml:space="preserve">10</w:t>
            </w:r>
          </w:p>
        </w:tc>
        <w:tc>
          <w:tcPr/>
          <w:p>
            <w:pPr>
              <w:pStyle w:val="Normal"/>
            </w:pPr>
            <w:r>
              <w:t xml:space="preserve">2</w:t>
            </w:r>
          </w:p>
        </w:tc>
        <w:tc>
          <w:tcPr/>
          <w:p>
            <w:pPr>
              <w:pStyle w:val="Normal"/>
            </w:pPr>
            <w:r>
              <w:t xml:space="preserve">13</w:t>
            </w:r>
          </w:p>
        </w:tc>
        <w:tc>
          <w:tcPr/>
          <w:p>
            <w:pPr>
              <w:pStyle w:val="Normal"/>
            </w:pPr>
            <w:r>
              <w:t xml:space="preserve">8</w:t>
            </w:r>
          </w:p>
        </w:tc>
        <w:tc>
          <w:tcPr/>
          <w:p>
            <w:pPr>
              <w:pStyle w:val="Normal"/>
            </w:pPr>
            <w:r>
              <w:t xml:space="preserve">13.3%</w:t>
            </w:r>
          </w:p>
        </w:tc>
        <w:tc>
          <w:tcPr/>
          <w:p>
            <w:pPr>
              <w:pStyle w:val="Normal"/>
            </w:pPr>
            <w:r>
              <w:t xml:space="preserve">20.0%</w:t>
            </w:r>
          </w:p>
        </w:tc>
        <w:tc>
          <w:tcPr/>
          <w:p>
            <w:pPr>
              <w:pStyle w:val="Normal"/>
            </w:pPr>
            <w:r>
              <w:t xml:space="preserve">1034 ms</w:t>
            </w:r>
          </w:p>
        </w:tc>
      </w:tr>
    </w:tbl>
    <w:p>
      <w:pPr>
        <w:jc w:val="center"/>
      </w:pPr>
      <w:r>
        <w:drawing>
          <wp:inline distT="0" distB="0" distL="0" distR="0">
            <wp:extent cx="5669280" cy="1820756"/>
            <wp:docPr id="11" name="guided_eval_results.png"/>
            <wp:cNvGraphicFramePr>
              <a:graphicFrameLocks noChangeAspect="1"/>
            </wp:cNvGraphicFramePr>
            <a:graphic>
              <a:graphicData uri="http://schemas.openxmlformats.org/drawingml/2006/picture">
                <pic:pic>
                  <pic:nvPicPr>
                    <pic:cNvPr id="11" name="guided_eval_results.png"/>
                    <pic:cNvPicPr/>
                  </pic:nvPicPr>
                  <pic:blipFill>
                    <a:blip r:embed="rId11"/>
                    <a:stretch>
                      <a:fillRect/>
                    </a:stretch>
                  </pic:blipFill>
                  <pic:spPr>
                    <a:xfrm>
                      <a:off x="0" y="0"/>
                      <a:ext cx="5669280" cy="1820756"/>
                    </a:xfrm>
                    <a:prstGeom prst="rect">
                      <a:avLst/>
                    </a:prstGeom>
                  </pic:spPr>
                </pic:pic>
              </a:graphicData>
            </a:graphic>
          </wp:inline>
        </w:drawing>
      </w:r>
    </w:p>
    <w:p>
      <w:pPr>
        <w:pStyle w:val="Caption"/>
      </w:pPr>
      <w:r>
        <w:t xml:space="preserve">Figure 10. Guided evaluation plot generated from the slow mirrored drum and piano runs.</w:t>
      </w:r>
    </w:p>
    <w:p>
      <w:pPr>
        <w:pStyle w:val="Normal"/>
      </w:pPr>
      <w:r>
        <w:t xml:space="preserve">The drum-pad interface performed substantially better than the piano interface in this pilot run. This is expected because drum mode only requires the fingertip strike to land inside a visible rectangle, while piano mode requires both accurate finger identity and stable screen-side hand mapping. The piano result therefore highlights a remaining usability issue rather than a failure of palm detection: the system is detecting fingertip strikes, but many detected notes do not match the prompted note. The cue-to-detection latency values include human reaction time and should not be interpreted as acoustic motion-to-speaker latency.</w:t>
      </w:r>
    </w:p>
    <w:p>
      <w:pPr>
        <w:pStyle w:val="Heading3"/>
      </w:pPr>
      <w:r>
        <w:t xml:space="preserve">7.4 Backend Performance Summary</w:t>
      </w:r>
    </w:p>
    <w:p>
      <w:pPr>
        <w:pStyle w:val="Normal"/>
      </w:pPr>
      <w:r>
        <w:t xml:space="preserve">The table below reports the high-level latency comparison for the four evaluated runtime configurations. The </w:t>
      </w:r>
      <w:r>
        <w:rPr>
          <w:rFonts w:ascii="Courier New" w:hAnsi="Courier New"/>
        </w:rPr>
        <w:t xml:space="preserve">cpu</w:t>
      </w:r>
      <w:r>
        <w:t xml:space="preserve"> row is a practical reference path. The </w:t>
      </w:r>
      <w:r>
        <w:rPr>
          <w:rFonts w:ascii="Courier New" w:hAnsi="Courier New"/>
        </w:rPr>
        <w:t xml:space="preserve">cpu-baseline</w:t>
      </w:r>
      <w:r>
        <w:t xml:space="preserve"> and </w:t>
      </w:r>
      <w:r>
        <w:rPr>
          <w:rFonts w:ascii="Courier New" w:hAnsi="Courier New"/>
        </w:rPr>
        <w:t xml:space="preserve">npu-full</w:t>
      </w:r>
      <w:r>
        <w:t xml:space="preserve"> rows form the controlled CPU-vs-NPU comparison because they share the same palm→ROI→hand pipeline and differ only in hand landmark inference. The </w:t>
      </w:r>
      <w:r>
        <w:rPr>
          <w:rFonts w:ascii="Courier New" w:hAnsi="Courier New"/>
        </w:rPr>
        <w:t xml:space="preserve">npu</w:t>
      </w:r>
      <w:r>
        <w:t xml:space="preserve">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w:t>
            </w:r>
            <w:r>
              <w:rPr>
                <w:rFonts w:ascii="Courier New" w:hAnsi="Courier New"/>
              </w:rPr>
              <w:t xml:space="preserve">npu-full</w:t>
            </w:r>
            <w:r>
              <w:t xml:space="preserve">; isolates the hand-landmark accelerator comparison</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7.5 Offline Dataset Benchmark Summary</w:t>
      </w:r>
    </w:p>
    <w:p>
      <w:pPr>
        <w:pStyle w:val="Normal"/>
      </w:pPr>
      <w:r>
        <w:t xml:space="preserve">A 90-frame offline benchmark was run to compare the two structurally matched pipelines, </w:t>
      </w:r>
      <w:r>
        <w:rPr>
          <w:rFonts w:ascii="Courier New" w:hAnsi="Courier New"/>
        </w:rPr>
        <w:t xml:space="preserve">cpu-baseline</w:t>
      </w:r>
      <w:r>
        <w:t xml:space="preserve"> and </w:t>
      </w:r>
      <w:r>
        <w:rPr>
          <w:rFonts w:ascii="Courier New" w:hAnsi="Courier New"/>
        </w:rPr>
        <w:t xml:space="preserve">npu-full</w:t>
      </w:r>
      <w:r>
        <w:t xml:space="preserve">,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w:t>
      </w:r>
      <w:r>
        <w:rPr>
          <w:rFonts w:ascii="Courier New" w:hAnsi="Courier New"/>
        </w:rPr>
        <w:t xml:space="preserve">cpu-baseline</w:t>
      </w:r>
      <w:r>
        <w:t xml:space="preserve"> vs. </w:t>
      </w:r>
      <w:r>
        <w:rPr>
          <w:rFonts w:ascii="Courier New" w:hAnsi="Courier New"/>
        </w:rPr>
        <w:t xml:space="preserve">npu-full</w:t>
      </w:r>
      <w:r>
        <w:t xml:space="preserve">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w:t>
      </w:r>
      <w:r>
        <w:rPr>
          <w:rFonts w:ascii="Courier New" w:hAnsi="Courier New"/>
        </w:rPr>
        <w:t xml:space="preserve">npu-full</w:t>
      </w:r>
      <w:r>
        <w:t xml:space="preserve">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w:t>
      </w:r>
      <w:r>
        <w:rPr>
          <w:rFonts w:ascii="Courier New" w:hAnsi="Courier New"/>
        </w:rPr>
        <w:t xml:space="preserve">G4</w:t>
      </w:r>
      <w:r>
        <w:t xml:space="preserve">) and left-hand pinky is lowest (</w:t>
      </w:r>
      <w:r>
        <w:rPr>
          <w:rFonts w:ascii="Courier New" w:hAnsi="Courier New"/>
        </w:rPr>
        <w:t xml:space="preserve">C4</w:t>
      </w:r>
      <w:r>
        <w:t xml:space="preserve">), while the right hand ascends from </w:t>
      </w:r>
      <w:r>
        <w:rPr>
          <w:rFonts w:ascii="Courier New" w:hAnsi="Courier New"/>
        </w:rPr>
        <w:t xml:space="preserve">C5</w:t>
      </w:r>
      <w:r>
        <w:t xml:space="preserve"> to </w:t>
      </w:r>
      <w:r>
        <w:rPr>
          <w:rFonts w:ascii="Courier New" w:hAnsi="Courier New"/>
        </w:rPr>
        <w:t xml:space="preserve">G5</w:t>
      </w:r>
      <w:r>
        <w:t xml:space="preserve">.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p>
    <w:p>
      <w:pPr>
        <w:pStyle w:val="Heading2"/>
      </w:pPr>
      <w:r>
        <w:t xml:space="preserve">9. Limitations</w:t>
      </w:r>
    </w:p>
    <w:p>
      <w:pPr>
        <w:pStyle w:val="Normal"/>
      </w:pPr>
      <w:r>
        <w:t xml:space="preserve">The current prototype has several limitations:</w:t>
      </w:r>
    </w:p>
    <w:p>
      <w:pPr>
        <w:pStyle w:val="ListParagraph"/>
      </w:pPr>
      <w:r>
        <w:t xml:space="preserve">• </w:t>
      </w:r>
      <w:r>
        <w:rPr>
          <w:b/>
          <w:bCs/>
        </w:rPr>
        <w:t xml:space="preserve">No complete final E2E audio-latency measurement</w:t>
      </w:r>
      <w:r>
        <w:t xml:space="preserve"> is included; a manual high-speed-camera or synchronized audio/video experiment is required.</w:t>
      </w:r>
    </w:p>
    <w:p>
      <w:pPr>
        <w:pStyle w:val="ListParagraph"/>
      </w:pPr>
      <w:r>
        <w:t xml:space="preserve">• </w:t>
      </w:r>
      <w:r>
        <w:rPr>
          <w:b/>
          <w:bCs/>
        </w:rPr>
        <w:t xml:space="preserve">No formal user study</w:t>
      </w:r>
      <w:r>
        <w:t xml:space="preserve"> has been conducted.</w:t>
      </w:r>
    </w:p>
    <w:p>
      <w:pPr>
        <w:pStyle w:val="ListParagraph"/>
      </w:pPr>
      <w:r>
        <w:t xml:space="preserve">• </w:t>
      </w:r>
      <w:r>
        <w:rPr>
          <w:b/>
          <w:bCs/>
        </w:rPr>
        <w:t xml:space="preserve">Guided hit-accuracy results are preliminary</w:t>
      </w:r>
      <w:r>
        <w:t xml:space="preserve">: the pilot run has one performer and one slow tempo, and piano accuracy remains low without further calibration.</w:t>
      </w:r>
    </w:p>
    <w:p>
      <w:pPr>
        <w:pStyle w:val="ListParagraph"/>
      </w:pPr>
      <w:r>
        <w:t xml:space="preserve">• </w:t>
      </w:r>
      <w:r>
        <w:rPr>
          <w:b/>
          <w:bCs/>
        </w:rPr>
        <w:t xml:space="preserve">Depth ambiguity</w:t>
      </w:r>
      <w:r>
        <w:t xml:space="preserve"> remains because the system uses a single RGB camera.</w:t>
      </w:r>
    </w:p>
    <w:p>
      <w:pPr>
        <w:pStyle w:val="ListParagraph"/>
      </w:pPr>
      <w:r>
        <w:t xml:space="preserve">• </w:t>
      </w:r>
      <w:r>
        <w:rPr>
          <w:b/>
          <w:bCs/>
        </w:rPr>
        <w:t xml:space="preserve">Lighting and background sensitivity</w:t>
      </w:r>
      <w:r>
        <w:t xml:space="preserve"> may affect landmark stability.</w:t>
      </w:r>
    </w:p>
    <w:p>
      <w:pPr>
        <w:pStyle w:val="ListParagraph"/>
      </w:pPr>
      <w:r>
        <w:t xml:space="preserve">• </w:t>
      </w:r>
      <w:r>
        <w:rPr>
          <w:b/>
          <w:bCs/>
        </w:rPr>
        <w:t xml:space="preserve">NPU-full accuracy and latency</w:t>
      </w:r>
      <w:r>
        <w:t xml:space="preserve"> remain limited by CPU palm detection.</w:t>
      </w:r>
    </w:p>
    <w:p>
      <w:pPr>
        <w:pStyle w:val="ListParagraph"/>
      </w:pPr>
      <w:r>
        <w:t xml:space="preserve">• </w:t>
      </w:r>
      <w:r>
        <w:rPr>
          <w:b/>
          <w:bCs/>
        </w:rPr>
        <w:t xml:space="preserve">Tactile feedback is absent</w:t>
      </w:r>
      <w:r>
        <w:t xml:space="preserve">, so timing may feel different from physical instruments.</w:t>
      </w:r>
    </w:p>
    <w:p>
      <w:pPr>
        <w:pStyle w:val="Normal"/>
      </w:pPr>
    </w:p>
    <w:p>
      <w:pPr>
        <w:pStyle w:val="Heading2"/>
      </w:pPr>
      <w:r>
        <w:t xml:space="preserve">10. Future Work</w:t>
      </w:r>
    </w:p>
    <w:p>
      <w:pPr>
        <w:pStyle w:val="Normal"/>
      </w:pPr>
      <w:r>
        <w:t xml:space="preserve">Recommended next steps are:</w:t>
      </w:r>
    </w:p>
    <w:p>
      <w:pPr>
        <w:pStyle w:val="ListParagraph"/>
      </w:pPr>
      <w:r>
        <w:t xml:space="preserve">1. Measure E2E audio latency using a high-speed camera and synchronized audio waveform.</w:t>
      </w:r>
    </w:p>
    <w:p>
      <w:pPr>
        <w:pStyle w:val="ListParagraph"/>
      </w:pPr>
      <w:r>
        <w:t xml:space="preserve">2. Run guided hit-accuracy trials for both modes at multiple tempos.</w:t>
      </w:r>
    </w:p>
    <w:p>
      <w:pPr>
        <w:pStyle w:val="ListParagraph"/>
      </w:pPr>
      <w:r>
        <w:t xml:space="preserve">3. Improve piano-specific calibration for finger identity, screen-side hand mapping, and per-user strike thresholds.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Expand the guided evaluation to more participants and longer randomized cue sequences.</w:t>
      </w:r>
    </w:p>
    <w:p>
      <w:pPr>
        <w:pStyle w:val="ListParagraph"/>
      </w:pPr>
      <w:r>
        <w:t xml:space="preserve">8. Conduct a small user study comparing playability of drum and piano modes.</w:t>
      </w:r>
    </w:p>
    <w:p>
      <w:pPr>
        <w:pStyle w:val="Normal"/>
      </w:pP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p>
    <w:p>
      <w:pPr>
        <w:pStyle w:val="Heading2"/>
      </w:pPr>
      <w:r>
        <w:t xml:space="preserve">Acknowledgments</w:t>
      </w:r>
    </w:p>
    <w:p>
      <w:pPr>
        <w:pStyle w:val="Normal"/>
      </w:pPr>
      <w:r>
        <w:t xml:space="preserve">FILLME: course, advisor, lab, hardware provider, or collaborator acknowledgments.</w:t>
      </w:r>
    </w:p>
    <w:p>
      <w:pPr>
        <w:pStyle w:val="Normal"/>
      </w:pPr>
    </w:p>
    <w:p>
      <w:pPr>
        <w:pStyle w:val="Heading2"/>
      </w:pPr>
      <w:r>
        <w:t xml:space="preserve">References</w:t>
      </w:r>
    </w:p>
    <w:p>
      <w:pPr>
        <w:pStyle w:val="Normal"/>
      </w:pPr>
      <w:r>
        <w:t xml:space="preserve">[1] F. Zhang, V. Bazarevsky, A. Vakunov, A. Tkachenka, G. Sung, C.-L. Chang, and M. Grundmann, “MediaPipe Hands: On-device real-time hand tracking,” arXiv preprint arXiv:2006.10214, 2020. [Online]. Available: https://arxiv.org/abs/2006.10214. Accessed: May 27, 2026.</w:t>
      </w:r>
    </w:p>
    <w:p>
      <w:pPr>
        <w:pStyle w:val="Normal"/>
      </w:pPr>
      <w:r>
        <w:t xml:space="preserve">[2] Google AI Edge, “Hand landmarks detection guide,” Google AI for Developers. [Online]. Available: https://ai.google.dev/edge/mediapipe/solutions/vision/hand_landmarker. Accessed: May 27, 2026.</w:t>
      </w:r>
    </w:p>
    <w:p>
      <w:pPr>
        <w:pStyle w:val="Normal"/>
      </w:pPr>
      <w:r>
        <w:t xml:space="preserve">[3] OpenCV Team, “OpenCV modules,” OpenCV Documentation. [Online]. Available: https://docs.opencv.org/4.x/. Accessed: May 27, 2026.</w:t>
      </w:r>
    </w:p>
    <w:p>
      <w:pPr>
        <w:pStyle w:val="Normal"/>
      </w:pPr>
      <w:r>
        <w:t xml:space="preserve">[4] pygame developers, “Pygame front page—pygame v2.6.0 documentation,” pygame. [Online]. Available: https://www.pygame.org/docs/. Accessed: May 27, 2026.</w:t>
      </w:r>
    </w:p>
    <w:p>
      <w:pPr>
        <w:pStyle w:val="Normal"/>
      </w:pPr>
      <w:r>
        <w:t xml:space="preserve">[5] DEEPX, “Get Started,” DEEPX Developer. [Online]. Available: https://developer.deepx.ai/article/get-started/. Accessed: May 27, 2026.</w:t>
      </w:r>
    </w:p>
    <w:sectPr>
      <w:pgSz w:w="11906" w:h="16838"/>
      <w:pgMar w:top="900" w:right="900" w:bottom="900" w:left="900" w:header="720" w:footer="720"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0"/>
      </w:rPr>
    </w:rPrDefault>
  </w:docDefaults>
  <w:style w:type="paragraph" w:default="1" w:styleId="Normal">
    <w:name w:val="Normal"/>
    <w:rPr>
      <w:rFonts w:ascii="Times New Roman" w:hAnsi="Times New Roman" w:eastAsia="Times New Roman" w:cs="Times New Roman"/>
      <w:sz w:val="20"/>
    </w:rPr>
  </w:style>
  <w:style w:type="paragraph" w:styleId="Heading1">
    <w:name w:val="heading 1"/>
    <w:basedOn w:val="Normal"/>
    <w:next w:val="Normal"/>
    <w:rPr>
      <w:b/>
      <w:rFonts w:ascii="Times New Roman" w:hAnsi="Times New Roman" w:eastAsia="Times New Roman" w:cs="Times New Roman"/>
      <w:sz w:val="34"/>
    </w:rPr>
  </w:style>
  <w:style w:type="paragraph" w:styleId="Heading2">
    <w:name w:val="heading 2"/>
    <w:basedOn w:val="Normal"/>
    <w:next w:val="Normal"/>
    <w:rPr>
      <w:b/>
      <w:rFonts w:ascii="Times New Roman" w:hAnsi="Times New Roman" w:eastAsia="Times New Roman" w:cs="Times New Roman"/>
      <w:sz w:val="28"/>
    </w:rPr>
  </w:style>
  <w:style w:type="paragraph" w:styleId="Heading3">
    <w:name w:val="heading 3"/>
    <w:basedOn w:val="Normal"/>
    <w:next w:val="Normal"/>
    <w:rPr>
      <w:b/>
      <w:rFonts w:ascii="Times New Roman" w:hAnsi="Times New Roman" w:eastAsia="Times New Roman" w:cs="Times New Roman"/>
      <w:sz w:val="24"/>
    </w:rPr>
  </w:style>
  <w:style w:type="paragraph" w:styleId="Heading4">
    <w:name w:val="heading 4"/>
    <w:basedOn w:val="Normal"/>
    <w:next w:val="Normal"/>
    <w:rPr>
      <w:b/>
      <w:rFonts w:ascii="Times New Roman" w:hAnsi="Times New Roman" w:eastAsia="Times New Roman" w:cs="Times New Roman"/>
      <w:sz w:val="22"/>
    </w:rPr>
  </w:style>
  <w:style w:type="paragraph" w:styleId="ListParagraph">
    <w:name w:val="List Paragraph"/>
    <w:basedOn w:val="Normal"/>
    <w:pPr>
      <w:ind w:left="360"/>
    </w:pPr>
  </w:style>
  <w:style w:type="paragraph" w:styleId="Caption">
    <w:name w:val="Caption"/>
    <w:basedOn w:val="Normal"/>
    <w:pPr>
      <w:jc w:val="center"/>
    </w:pPr>
    <w:rPr>
      <w:i/>
      <w:rFonts w:ascii="Times New Roman" w:hAnsi="Times New Roman" w:eastAsia="Times New Roman" w:cs="Times New Roman"/>
      <w:color w:val="475569"/>
      <w:sz w:val="18"/>
    </w:rPr>
  </w:style>
  <w:style w:type="paragraph" w:styleId="Code">
    <w:name w:val="Code"/>
    <w:basedOn w:val="Normal"/>
    <w:rPr>
      <w:rFonts w:ascii="Courier New" w:hAnsi="Courier New" w:eastAsia="Times New Roman" w:cs="Courier New"/>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s>
</file>