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and guided-style windowed skeleton overlay, enabled by default, so the performer's left/right hand motion and visual feedback match the guided evaluator.</w:t>
      </w:r>
    </w:p>
    <w:p>
      <w:pPr>
        <w:pStyle w:val="ListParagraph"/>
      </w:pPr>
      <w:r>
        <w:t xml:space="preserve">• Generated interface diagrams for both modes.</w:t>
      </w:r>
    </w:p>
    <w:p>
      <w:pPr>
        <w:pStyle w:val="ListParagraph"/>
      </w:pPr>
      <w:r>
        <w:t xml:space="preserve">• A default </w:t>
      </w:r>
      <w:r>
        <w:rPr>
          <w:rFonts w:ascii="Courier New" w:hAnsi="Courier New"/>
        </w:rPr>
        <w:t xml:space="preserve">main.py</w:t>
      </w:r>
      <w:r>
        <w:t xml:space="preserve"> runtime that launches the final </w:t>
      </w:r>
      <w:r>
        <w:rPr>
          <w:rFonts w:ascii="Courier New" w:hAnsi="Courier New"/>
        </w:rPr>
        <w:t xml:space="preserve">npu-full</w:t>
      </w:r>
      <w:r>
        <w:t xml:space="preserve"> CPU+NPU model path when packaged models are available.</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normal, non-guided runtime after the mirror-view and shape-preserving NPU bias-calibration updates. The non-guided interface uses the same full-camera overlay style as the guided evaluator, but removes cue-specific guidance such as countdowns and "ready" prompts. The drum screenshot shows the pad-based performance interface with a mirrored camera feed, fingertip landmark overlays, and recent strike feedback. The piano screenshot shows the live hand-to-note interface with recent strike feedback overlaid on the camera view.</w:t>
      </w:r>
    </w:p>
    <w:p>
      <w:pPr>
        <w:jc w:val="center"/>
      </w:pPr>
      <w:r>
        <w:drawing>
          <wp:inline distT="0" distB="0" distL="0" distR="0">
            <wp:extent cx="5669280" cy="3188970"/>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8970"/>
                    </a:xfrm>
                    <a:prstGeom prst="rect">
                      <a:avLst/>
                    </a:prstGeom>
                  </pic:spPr>
                </pic:pic>
              </a:graphicData>
            </a:graphic>
          </wp:inline>
        </w:drawing>
      </w:r>
    </w:p>
    <w:p>
      <w:pPr>
        <w:pStyle w:val="Caption"/>
      </w:pPr>
      <w:r>
        <w:t xml:space="preserve">Figure 6. Non-guided drum-pad runtime screenshot captured from the mirrored, bias-calibrated CPU+NPU interface.</w:t>
      </w:r>
    </w:p>
    <w:p>
      <w:pPr>
        <w:jc w:val="center"/>
      </w:pPr>
      <w:r>
        <w:drawing>
          <wp:inline distT="0" distB="0" distL="0" distR="0">
            <wp:extent cx="5669280" cy="3188970"/>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8970"/>
                    </a:xfrm>
                    <a:prstGeom prst="rect">
                      <a:avLst/>
                    </a:prstGeom>
                  </pic:spPr>
                </pic:pic>
              </a:graphicData>
            </a:graphic>
          </wp:inline>
        </w:drawing>
      </w:r>
    </w:p>
    <w:p>
      <w:pPr>
        <w:pStyle w:val="Caption"/>
      </w:pPr>
      <w:r>
        <w:t xml:space="preserve">Figure 7. Non-guided piano runtime screenshot captured from the mirrored, bias-calibrated CPU+NPU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 default </w:t>
            </w:r>
            <w:r>
              <w:rPr>
                <w:rFonts w:ascii="Courier New" w:hAnsi="Courier New"/>
              </w:rPr>
              <w:t xml:space="preserve">main.py</w:t>
            </w:r>
            <w:r>
              <w:t xml:space="preserve"> runtime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and is the default runtime used by </w:t>
      </w:r>
      <w:r>
        <w:rPr>
          <w:rFonts w:ascii="Courier New" w:hAnsi="Courier New"/>
        </w:rPr>
        <w:t xml:space="preserve">main.py</w:t>
      </w:r>
      <w:r>
        <w:t xml:space="preserve"> when the packaged model files are present. The default also loads the dataset-calibrated NPU landmark-correction JSON when available, because the pre-collected replay dataset shows that it reduces mean normalized NPU landmark error versus the CPU TFLite reference. CPU palm detection still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overlays, and mode-specific overlays.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hit testing uses the same display-transformed landmark coordinates, so pad locations match what the performer sees. In piano mode, the note mapping is tied to a mirror-aware physical left/right estimate rather than raw tracker hand order or raw MediaPipe handedness. This keeps the user-specified left-hand and right-hand note ranges stable even when the camera feed is flipped for the performer and even when the hand tracker changes the order of detected hands.</w:t>
      </w:r>
    </w:p>
    <w:p>
      <w:pPr>
        <w:pStyle w:val="Normal"/>
      </w:pPr>
      <w:r>
        <w:t xml:space="preserve">The live interface draws per-finger landmark overlays for operator feedback while strike detection evaluates every fingertip internally. Piano note triggering uses the model-provided fingertip landmark identity together with a mirror-aware physical left/right hand estimate.</w:t>
      </w:r>
    </w:p>
    <w:p>
      <w:pPr>
        <w:pStyle w:val="Normal"/>
      </w:pPr>
      <w:r>
        <w:t xml:space="preserve">The generated diagrams are used as report figures and as reference assets for documenting the available mappings.</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overlays.</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38/38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and the final </w:t>
      </w:r>
      <w:r>
        <w:rPr>
          <w:rFonts w:ascii="Courier New" w:hAnsi="Courier New"/>
        </w:rPr>
        <w:t xml:space="preserve">npu-full</w:t>
      </w:r>
      <w:r>
        <w:t xml:space="preserve"> architecture: CPU palm detection with NPU hand-landmark inference. To reduce the effect of reading and reaction time, the evaluator used a block-repetition protocol. Each target block had a 5 s initial lead-in, a 6 s ready interval before the target, six repeated strikes at 50 BPM, and the first two strikes of each block were excluded from scoring as warm-up beats. Matching used a -0.20 s / +0.80 s cue window and a 0.35 s global event cooldown to reduce duplicate multi-finger detections.</w:t>
      </w:r>
    </w:p>
    <w:p>
      <w:pPr>
        <w:pStyle w:val="Normal"/>
      </w:pPr>
      <w:r>
        <w:t xml:space="preserve">An initial two-hand piano guided run remained nearly unusable, with only 7.5% recall / target accuracy. Therefore, the final piano guided evaluation used a one-hand right-hand protocol covering only </w:t>
      </w:r>
      <w:r>
        <w:rPr>
          <w:rFonts w:ascii="Courier New" w:hAnsi="Courier New"/>
        </w:rPr>
        <w:t xml:space="preserve">C5–G5</w:t>
      </w:r>
      <w:r>
        <w:t xml:space="preserve">, with the tracker limited to one hand. This restriction directly targets the observed failure mode where simultaneous two-hand piano tracking produced unstable finger identity and very low note accuracy.</w:t>
      </w:r>
    </w:p>
    <w:p>
      <w:pPr>
        <w:pStyle w:val="Normal"/>
      </w:pPr>
      <w:r>
        <w:t xml:space="preserve">Figures 10 and 11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608320"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608320" cy="4206240"/>
                    </a:xfrm>
                    <a:prstGeom prst="rect">
                      <a:avLst/>
                    </a:prstGeom>
                  </pic:spPr>
                </pic:pic>
              </a:graphicData>
            </a:graphic>
          </wp:inline>
        </w:drawing>
      </w:r>
    </w:p>
    <w:p>
      <w:pPr>
        <w:pStyle w:val="Caption"/>
      </w:pPr>
      <w:r>
        <w:t xml:space="preserve">Figure 10. Guided drum evaluation screenshot showing the current pad cue and mirrored pad overlay.</w:t>
      </w:r>
    </w:p>
    <w:p>
      <w:pPr>
        <w:jc w:val="center"/>
      </w:pPr>
      <w:r>
        <w:drawing>
          <wp:inline distT="0" distB="0" distL="0" distR="0">
            <wp:extent cx="5608320"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608320" cy="4206240"/>
                    </a:xfrm>
                    <a:prstGeom prst="rect">
                      <a:avLst/>
                    </a:prstGeom>
                  </pic:spPr>
                </pic:pic>
              </a:graphicData>
            </a:graphic>
          </wp:inline>
        </w:drawing>
      </w:r>
    </w:p>
    <w:p>
      <w:pPr>
        <w:pStyle w:val="Caption"/>
      </w:pPr>
      <w:r>
        <w:t xml:space="preserve">Figure 11.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Scored 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32</w:t>
            </w:r>
          </w:p>
        </w:tc>
        <w:tc>
          <w:tcPr/>
          <w:p>
            <w:pPr>
              <w:pStyle w:val="Normal"/>
            </w:pPr>
            <w:r>
              <w:t xml:space="preserve">11</w:t>
            </w:r>
          </w:p>
        </w:tc>
        <w:tc>
          <w:tcPr/>
          <w:p>
            <w:pPr>
              <w:pStyle w:val="Normal"/>
            </w:pPr>
            <w:r>
              <w:t xml:space="preserve">106</w:t>
            </w:r>
          </w:p>
        </w:tc>
        <w:tc>
          <w:tcPr/>
          <w:p>
            <w:pPr>
              <w:pStyle w:val="Normal"/>
            </w:pPr>
            <w:r>
              <w:t xml:space="preserve">21</w:t>
            </w:r>
          </w:p>
        </w:tc>
        <w:tc>
          <w:tcPr/>
          <w:p>
            <w:pPr>
              <w:pStyle w:val="Normal"/>
            </w:pPr>
            <w:r>
              <w:t xml:space="preserve">9.4%</w:t>
            </w:r>
          </w:p>
        </w:tc>
        <w:tc>
          <w:tcPr/>
          <w:p>
            <w:pPr>
              <w:pStyle w:val="Normal"/>
            </w:pPr>
            <w:r>
              <w:t xml:space="preserve">34.4%</w:t>
            </w:r>
          </w:p>
        </w:tc>
        <w:tc>
          <w:tcPr/>
          <w:p>
            <w:pPr>
              <w:pStyle w:val="Normal"/>
            </w:pPr>
            <w:r>
              <w:t xml:space="preserve">333 ms</w:t>
            </w:r>
          </w:p>
        </w:tc>
      </w:tr>
      <w:tr>
        <w:tc>
          <w:tcPr/>
          <w:p>
            <w:pPr>
              <w:pStyle w:val="Normal"/>
            </w:pPr>
            <w:r>
              <w:t xml:space="preserve">Piano, two hands (diagnostic)</w:t>
            </w:r>
          </w:p>
        </w:tc>
        <w:tc>
          <w:tcPr/>
          <w:p>
            <w:pPr>
              <w:pStyle w:val="Normal"/>
            </w:pPr>
            <w:r>
              <w:t xml:space="preserve">40</w:t>
            </w:r>
          </w:p>
        </w:tc>
        <w:tc>
          <w:tcPr/>
          <w:p>
            <w:pPr>
              <w:pStyle w:val="Normal"/>
            </w:pPr>
            <w:r>
              <w:t xml:space="preserve">3</w:t>
            </w:r>
          </w:p>
        </w:tc>
        <w:tc>
          <w:tcPr/>
          <w:p>
            <w:pPr>
              <w:pStyle w:val="Normal"/>
            </w:pPr>
            <w:r>
              <w:t xml:space="preserve">79</w:t>
            </w:r>
          </w:p>
        </w:tc>
        <w:tc>
          <w:tcPr/>
          <w:p>
            <w:pPr>
              <w:pStyle w:val="Normal"/>
            </w:pPr>
            <w:r>
              <w:t xml:space="preserve">37</w:t>
            </w:r>
          </w:p>
        </w:tc>
        <w:tc>
          <w:tcPr/>
          <w:p>
            <w:pPr>
              <w:pStyle w:val="Normal"/>
            </w:pPr>
            <w:r>
              <w:t xml:space="preserve">3.7%</w:t>
            </w:r>
          </w:p>
        </w:tc>
        <w:tc>
          <w:tcPr/>
          <w:p>
            <w:pPr>
              <w:pStyle w:val="Normal"/>
            </w:pPr>
            <w:r>
              <w:t xml:space="preserve">7.5%</w:t>
            </w:r>
          </w:p>
        </w:tc>
        <w:tc>
          <w:tcPr/>
          <w:p>
            <w:pPr>
              <w:pStyle w:val="Normal"/>
            </w:pPr>
            <w:r>
              <w:t xml:space="preserve">291 ms</w:t>
            </w:r>
          </w:p>
        </w:tc>
      </w:tr>
      <w:tr>
        <w:tc>
          <w:tcPr/>
          <w:p>
            <w:pPr>
              <w:pStyle w:val="Normal"/>
            </w:pPr>
            <w:r>
              <w:t xml:space="preserve">Piano, right hand only</w:t>
            </w:r>
          </w:p>
        </w:tc>
        <w:tc>
          <w:tcPr/>
          <w:p>
            <w:pPr>
              <w:pStyle w:val="Normal"/>
            </w:pPr>
            <w:r>
              <w:t xml:space="preserve">20</w:t>
            </w:r>
          </w:p>
        </w:tc>
        <w:tc>
          <w:tcPr/>
          <w:p>
            <w:pPr>
              <w:pStyle w:val="Normal"/>
            </w:pPr>
            <w:r>
              <w:t xml:space="preserve">3</w:t>
            </w:r>
          </w:p>
        </w:tc>
        <w:tc>
          <w:tcPr/>
          <w:p>
            <w:pPr>
              <w:pStyle w:val="Normal"/>
            </w:pPr>
            <w:r>
              <w:t xml:space="preserve">32</w:t>
            </w:r>
          </w:p>
        </w:tc>
        <w:tc>
          <w:tcPr/>
          <w:p>
            <w:pPr>
              <w:pStyle w:val="Normal"/>
            </w:pPr>
            <w:r>
              <w:t xml:space="preserve">17</w:t>
            </w:r>
          </w:p>
        </w:tc>
        <w:tc>
          <w:tcPr/>
          <w:p>
            <w:pPr>
              <w:pStyle w:val="Normal"/>
            </w:pPr>
            <w:r>
              <w:t xml:space="preserve">8.6%</w:t>
            </w:r>
          </w:p>
        </w:tc>
        <w:tc>
          <w:tcPr/>
          <w:p>
            <w:pPr>
              <w:pStyle w:val="Normal"/>
            </w:pPr>
            <w:r>
              <w:t xml:space="preserve">15.0%</w:t>
            </w:r>
          </w:p>
        </w:tc>
        <w:tc>
          <w:tcPr/>
          <w:p>
            <w:pPr>
              <w:pStyle w:val="Normal"/>
            </w:pPr>
            <w:r>
              <w:t xml:space="preserve">304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12. Guided evaluation plot generated from the mirrored </w:t>
      </w:r>
      <w:r>
        <w:rPr>
          <w:rFonts w:ascii="Courier New" w:hAnsi="Courier New"/>
        </w:rPr>
        <w:t xml:space="preserve">npu-full</w:t>
      </w:r>
      <w:r>
        <w:t xml:space="preserve"> block-repetition drum, two-hand piano, and one-hand piano runs.</w:t>
      </w:r>
    </w:p>
    <w:p>
      <w:pPr>
        <w:pStyle w:val="Normal"/>
      </w:pPr>
      <w:r>
        <w:t xml:space="preserve">The drum-pad interface performed better than the piano interface because drum mode only requires the fingertip strike to land inside a visible rectangle, while piano mode requires stable hand side and finger identity. The two-hand piano diagnostic run confirms this difficulty: many strikes were detected, but most did not match the prompted note. Restricting piano evaluation to one right hand improved target accuracy from 7.5% to 15.0%, but the absolute value remains low and indicates that finger identity, mirrored-hand interpretation, and duplicate-strike suppression need more work.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