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Source availability:</w:t>
      </w:r>
      <w:r>
        <w:t xml:space="preserve"> Private implementation artifact; the GitHub repository and source code are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the final titled version of </w:t>
      </w:r>
      <w:r>
        <w:rPr>
          <w:b/>
          <w:bCs/>
        </w:rPr>
        <w:t xml:space="preserve">AI Air-Drum Pad</w:t>
      </w:r>
      <w:r>
        <w:t xml:space="preserv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Generated interface diagrams for both modes.</w:t>
      </w:r>
    </w:p>
    <w:p>
      <w:pPr>
        <w:pStyle w:val="ListParagraph"/>
      </w:pPr>
      <w:r>
        <w:t xml:space="preserve">• Report figures generated programmatically for system architecture, strike logic, and backend latency.</w:t>
      </w:r>
    </w:p>
    <w:p>
      <w:pPr>
        <w:pStyle w:val="ListParagraph"/>
      </w:pPr>
      <w:r>
        <w:t xml:space="preserve">• A repeatable private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Manual Screenshots Still Required</w:t>
      </w:r>
    </w:p>
    <w:p>
      <w:pPr>
        <w:pStyle w:val="Normal"/>
      </w:pPr>
      <w:r>
        <w:t xml:space="preserve">Some figures require live hardware capture rather than offline generation. They are left as FILLME placeholders:</w:t>
      </w:r>
    </w:p>
    <w:p>
      <w:pPr>
        <w:pStyle w:val="Caption"/>
      </w:pPr>
      <w:r>
        <w:t xml:space="preserve">[FILLME image placeholder: FILLME: final live full-screen drum mode with camera feed, pad overlay, sidebar, and strike list.]</w:t>
      </w:r>
    </w:p>
    <w:p>
      <w:pPr>
        <w:pStyle w:val="Caption"/>
      </w:pPr>
      <w:r>
        <w:t xml:space="preserve">[FILLME image placeholder: FILLME: final live full-screen piano mode with camera feed, finger trails, sidebar, and strike list.]</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6 shows the decision logic.</w:t>
      </w:r>
    </w:p>
    <w:p>
      <w:pPr>
        <w:jc w:val="center"/>
      </w:pPr>
      <w:r>
        <w:drawing>
          <wp:inline distT="0" distB="0" distL="0" distR="0">
            <wp:extent cx="5669280" cy="3025644"/>
            <wp:docPr id="7" name="strike_logic.png"/>
            <wp:cNvGraphicFramePr>
              <a:graphicFrameLocks noChangeAspect="1"/>
            </wp:cNvGraphicFramePr>
            <a:graphic>
              <a:graphicData uri="http://schemas.openxmlformats.org/drawingml/2006/picture">
                <pic:pic>
                  <pic:nvPicPr>
                    <pic:cNvPr id="7" name="strike_logic.png"/>
                    <pic:cNvPicPr/>
                  </pic:nvPicPr>
                  <pic:blipFill>
                    <a:blip r:embed="rId7"/>
                    <a:stretch>
                      <a:fillRect/>
                    </a:stretch>
                  </pic:blipFill>
                  <pic:spPr>
                    <a:xfrm>
                      <a:off x="0" y="0"/>
                      <a:ext cx="5669280" cy="3025644"/>
                    </a:xfrm>
                    <a:prstGeom prst="rect">
                      <a:avLst/>
                    </a:prstGeom>
                  </pic:spPr>
                </pic:pic>
              </a:graphicData>
            </a:graphic>
          </wp:inline>
        </w:drawing>
      </w:r>
    </w:p>
    <w:p>
      <w:pPr>
        <w:pStyle w:val="Caption"/>
      </w:pPr>
      <w:r>
        <w:t xml:space="preserve">Figure 6.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also mirrored in the private example configuration used for custom piano layouts.</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Private Implementation Modules</w:t>
      </w:r>
    </w:p>
    <w:p>
      <w:pPr>
        <w:pStyle w:val="Normal"/>
      </w:pPr>
      <w:r>
        <w:t xml:space="preserve">The source repository is not publicly released. For reproducibility of the academic description, the implementation is summarized by functional module rather than by public source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Private module</w:t>
            </w:r>
          </w:p>
        </w:tc>
        <w:tc>
          <w:tcPr>
            <w:shd w:fill="E2E8F0"/>
          </w:tcPr>
          <w:p>
            <w:pPr>
              <w:pStyle w:val="Normal"/>
            </w:pPr>
            <w:r>
              <w:t xml:space="preserve">Role</w:t>
            </w:r>
          </w:p>
        </w:tc>
      </w:tr>
      <w:tr>
        <w:tc>
          <w:tcPr/>
          <w:p>
            <w:pPr>
              <w:pStyle w:val="Normal"/>
            </w:pPr>
            <w:r>
              <w:t xml:space="preserve">Runtime controller</w:t>
            </w:r>
          </w:p>
        </w:tc>
        <w:tc>
          <w:tcPr/>
          <w:p>
            <w:pPr>
              <w:pStyle w:val="Normal"/>
            </w:pPr>
            <w:r>
              <w:t xml:space="preserve">Camera loop, backend selection, mode selection, drawing, sidebar UI, sound triggering</w:t>
            </w:r>
          </w:p>
        </w:tc>
      </w:tr>
      <w:tr>
        <w:tc>
          <w:tcPr/>
          <w:p>
            <w:pPr>
              <w:pStyle w:val="Normal"/>
            </w:pPr>
            <w:r>
              <w:t xml:space="preserve">Hand-tracking layer</w:t>
            </w:r>
          </w:p>
        </w:tc>
        <w:tc>
          <w:tcPr/>
          <w:p>
            <w:pPr>
              <w:pStyle w:val="Normal"/>
            </w:pPr>
            <w:r>
              <w:t xml:space="preserve">CPU MediaPipe, CPU-baseline TFLite, NPU, and NPU-full tracker abstractions</w:t>
            </w:r>
          </w:p>
        </w:tc>
      </w:tr>
      <w:tr>
        <w:tc>
          <w:tcPr/>
          <w:p>
            <w:pPr>
              <w:pStyle w:val="Normal"/>
            </w:pPr>
            <w:r>
              <w:t xml:space="preserve">Strike-detection layer</w:t>
            </w:r>
          </w:p>
        </w:tc>
        <w:tc>
          <w:tcPr/>
          <w:p>
            <w:pPr>
              <w:pStyle w:val="Normal"/>
            </w:pPr>
            <w:r>
              <w:t xml:space="preserve">Finger strike detector, pad strike detector, pad layout validation</w:t>
            </w:r>
          </w:p>
        </w:tc>
      </w:tr>
      <w:tr>
        <w:tc>
          <w:tcPr/>
          <w:p>
            <w:pPr>
              <w:pStyle w:val="Normal"/>
            </w:pPr>
            <w:r>
              <w:t xml:space="preserve">Audio layer</w:t>
            </w:r>
          </w:p>
        </w:tc>
        <w:tc>
          <w:tcPr/>
          <w:p>
            <w:pPr>
              <w:pStyle w:val="Normal"/>
            </w:pPr>
            <w:r>
              <w:t xml:space="preserve">Synthetic drum samples, piano note synthesis, default piano slots</w:t>
            </w:r>
          </w:p>
        </w:tc>
      </w:tr>
      <w:tr>
        <w:tc>
          <w:tcPr/>
          <w:p>
            <w:pPr>
              <w:pStyle w:val="Normal"/>
            </w:pPr>
            <w:r>
              <w:t xml:space="preserve">Figure-generation utilities</w:t>
            </w:r>
          </w:p>
        </w:tc>
        <w:tc>
          <w:tcPr/>
          <w:p>
            <w:pPr>
              <w:pStyle w:val="Normal"/>
            </w:pPr>
            <w:r>
              <w:t xml:space="preserve">Drum/piano mapping images and report diagrams</w:t>
            </w:r>
          </w:p>
        </w:tc>
      </w:tr>
      <w:tr>
        <w:tc>
          <w:tcPr/>
          <w:p>
            <w:pPr>
              <w:pStyle w:val="Normal"/>
            </w:pPr>
            <w:r>
              <w:t xml:space="preserve">Validation suite</w:t>
            </w:r>
          </w:p>
        </w:tc>
        <w:tc>
          <w:tcPr/>
          <w:p>
            <w:pPr>
              <w:pStyle w:val="Normal"/>
            </w:pPr>
            <w:r>
              <w:t xml:space="preserve">Unit tests for strike detection, mapping, ROI helpers, and benchmark helpers</w:t>
            </w:r>
          </w:p>
        </w:tc>
      </w:tr>
    </w:tbl>
    <w:p>
      <w:pPr>
        <w:pStyle w:val="Heading3"/>
      </w:pPr>
      <w:r>
        <w:t xml:space="preserve">5.2 Runtime Backends</w:t>
      </w:r>
    </w:p>
    <w:p>
      <w:pPr>
        <w:pStyle w:val="Normal"/>
      </w:pPr>
      <w:r>
        <w:t xml:space="preserve">The application supports four major backend configurations.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w:t>
            </w:r>
          </w:p>
        </w:tc>
        <w:tc>
          <w:tcPr/>
          <w:p>
            <w:pPr>
              <w:pStyle w:val="Normal"/>
            </w:pPr>
            <w:r>
              <w:t xml:space="preserve">MediaPipe internal</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5.3 User Interface</w:t>
      </w:r>
    </w:p>
    <w:p>
      <w:pPr>
        <w:pStyle w:val="Normal"/>
      </w:pPr>
      <w:r>
        <w:t xml:space="preserve">The runtime display contains the camera feed, hand/finger landmark trails, mode-specific overlays, and a sidebar. In drum mode, rectangles are drawn directly on the camera feed and flash briefly when hit. In piano mode, the sidebar shows the hand-to-note mapping and recent note events.</w:t>
      </w:r>
    </w:p>
    <w:p>
      <w:pPr>
        <w:pStyle w:val="Normal"/>
      </w:pPr>
      <w:r>
        <w:t xml:space="preserve">The generated diagrams are used both as report figures and as sidebar assets, keeping the report and runtime UI consistent without requiring public source-code distribution.</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current quality gate is:</w:t>
      </w:r>
    </w:p>
    <w:p>
      <w:pPr>
        <w:pStyle w:val="Code"/>
      </w:pPr>
      <w:r>
        <w:t xml:space="preserve">RUN_BENCH_SMOKE=0 ./scripts/check_quality.sh</w:t>
      </w:r>
    </w:p>
    <w:p>
      <w:pPr>
        <w:pStyle w:val="Normal"/>
      </w:pPr>
      <w:r>
        <w:t xml:space="preserve">This performs Python syntax checks, unit tests, and palm decode tests. The benchmark smoke test is skipped when model files or hardware-specific dependencies are unavailable.</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p>
        </w:tc>
        <w:tc>
          <w:tcPr/>
          <w:p>
            <w:pPr>
              <w:pStyle w:val="Normal"/>
            </w:pPr>
            <w:r>
              <w:t xml:space="preserve">1.1.4</w:t>
            </w:r>
          </w:p>
        </w:tc>
      </w:tr>
      <w:tr>
        <w:tc>
          <w:tcPr/>
          <w:p>
            <w:pPr>
              <w:pStyle w:val="Normal"/>
            </w:pPr>
            <w:r>
              <w:t xml:space="preserve">DX-COM</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2508969"/>
            <wp:docPr id="8" name="backend_latency.png"/>
            <wp:cNvGraphicFramePr>
              <a:graphicFrameLocks noChangeAspect="1"/>
            </wp:cNvGraphicFramePr>
            <a:graphic>
              <a:graphicData uri="http://schemas.openxmlformats.org/drawingml/2006/picture">
                <pic:pic>
                  <pic:nvPicPr>
                    <pic:cNvPr id="8" name="backend_latency.png"/>
                    <pic:cNvPicPr/>
                  </pic:nvPicPr>
                  <pic:blipFill>
                    <a:blip r:embed="rId8"/>
                    <a:stretch>
                      <a:fillRect/>
                    </a:stretch>
                  </pic:blipFill>
                  <pic:spPr>
                    <a:xfrm>
                      <a:off x="0" y="0"/>
                      <a:ext cx="5669280" cy="2508969"/>
                    </a:xfrm>
                    <a:prstGeom prst="rect">
                      <a:avLst/>
                    </a:prstGeom>
                  </pic:spPr>
                </pic:pic>
              </a:graphicData>
            </a:graphic>
          </wp:inline>
        </w:drawing>
      </w:r>
    </w:p>
    <w:p>
      <w:pPr>
        <w:pStyle w:val="Caption"/>
      </w:pPr>
      <w:r>
        <w:t xml:space="preserve">Figure 7.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metronome-guided trials in both drum and piano modes. A true positive is an intended strike detected within the allowed time window. A false negative is an intended strike with no valid event. A false positive is an unintended or duplicate event outside the allowed window. Report TP, FP, FN, precision, recall, and qualitative failure cases.</w:t>
      </w:r>
    </w:p>
    <w:p>
      <w:pPr>
        <w:pStyle w:val="ListParagraph"/>
      </w:pPr>
      <w:r>
        <w:t xml:space="preserve">3. </w:t>
      </w:r>
      <w:r>
        <w:rPr>
          <w:b/>
          <w:bCs/>
        </w:rPr>
        <w:t xml:space="preserve">Per-run logging:</w:t>
      </w:r>
      <w:r>
        <w:t xml:space="preserve"> retain the git commit, backend, camera resolution, model paths/checksums,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figures are still placeholders because they require live hardware capture.</w:t>
      </w:r>
    </w:p>
    <w:p>
      <w:pPr>
        <w:pStyle w:val="Caption"/>
      </w:pPr>
      <w:r>
        <w:t xml:space="preserve">[FILLME image placeholder: FILLME: high-speed-camera setup showing hand motion and speaker/audio waveform for E2E latency measurement.]</w:t>
      </w:r>
    </w:p>
    <w:p>
      <w:pPr>
        <w:pStyle w:val="Caption"/>
      </w:pPr>
      <w:r>
        <w:t xml:space="preserve">[FILLME image placeholder: FILLME: plot or table image from manual hit-accuracy experiment across piano and drum modes.]</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sidebar.</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28/28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with </w:t>
            </w:r>
            <w:r>
              <w:rPr>
                <w:rFonts w:ascii="Courier New" w:hAnsi="Courier New"/>
              </w:rPr>
              <w:t xml:space="preserve">RUN_BENCH_SMOKE=0</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and dataset capture indexing.</w:t>
      </w:r>
    </w:p>
    <w:p>
      <w:pPr>
        <w:pStyle w:val="Heading3"/>
      </w:pPr>
      <w:r>
        <w:t xml:space="preserve">7.3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7.4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No final hit-accuracy table</w:t>
      </w:r>
      <w:r>
        <w:t xml:space="preserve"> is available for tempo-controlled trials.</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Capture final live screenshots for the FILLME figures.</w:t>
      </w:r>
    </w:p>
    <w:p>
      <w:pPr>
        <w:pStyle w:val="ListParagraph"/>
      </w:pPr>
      <w:r>
        <w:t xml:space="preserve">2. Measure E2E audio latency using a high-speed camera and synchronized audio waveform.</w:t>
      </w:r>
    </w:p>
    <w:p>
      <w:pPr>
        <w:pStyle w:val="ListParagraph"/>
      </w:pPr>
      <w:r>
        <w:t xml:space="preserve">3. Run hit-accuracy trials for both modes at multiple tempos.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Add visual/audio metronome support for controlled evaluation.</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PANDA / AI Air-Drum Pad private project artifact: implementation, validation outputs, generated figures, instrument images, and recorded benchmark artifacts retained privately by the project authors and summarized in this self-contained report. [2] MediaPipe Hands / hand landmark model family, used through CPU MediaPipe and TFLite-derived pipeline paths. [3] OpenCV, used for camera capture, drawing, and display. [4] pygame, used for low-latency playback of pre-rendered PCM sound buffers. [5] DeepX DX-RT / DX-COM toolchain, used for </w:t>
      </w:r>
      <w:r>
        <w:rPr>
          <w:rFonts w:ascii="Courier New" w:hAnsi="Courier New"/>
        </w:rPr>
        <w:t xml:space="preserve">.dxnn</w:t>
      </w:r>
      <w:r>
        <w:t xml:space="preserve"> NPU hand-landmark inference experiments.</w:t>
      </w:r>
    </w:p>
    <w:p>
      <w:pPr>
        <w:pStyle w:val="Normal"/>
      </w:pPr>
    </w:p>
    <w:p>
      <w:pPr>
        <w:pStyle w:val="Heading2"/>
      </w:pPr>
      <w:r>
        <w:t xml:space="preserve">Appendix A. Artifact Availability and Private Validation Workflow</w:t>
      </w:r>
    </w:p>
    <w:p>
      <w:pPr>
        <w:pStyle w:val="Normal"/>
      </w:pPr>
      <w:r>
        <w:t xml:space="preserve">The GitHub repository and source code are not publicly released. The report is therefore written as a self-contained technical description: all system design, mode mappings, strike-detection equations, backend definitions, benchmark settings, and measured values needed for review are included in the main text.</w:t>
      </w:r>
    </w:p>
    <w:p>
      <w:pPr>
        <w:pStyle w:val="Normal"/>
      </w:pPr>
      <w:r>
        <w:t xml:space="preserve">The private implementation was validated using the following internal workflow:</w:t>
      </w:r>
    </w:p>
    <w:p>
      <w:pPr>
        <w:pStyle w:val="ListParagraph"/>
      </w:pPr>
      <w:r>
        <w:t xml:space="preserve">1. Regenerate the interface diagrams and report figures from the private artifact.</w:t>
      </w:r>
    </w:p>
    <w:p>
      <w:pPr>
        <w:pStyle w:val="ListParagraph"/>
      </w:pPr>
      <w:r>
        <w:t xml:space="preserve">2. Export the English and Korean reports to Markdown, DOCX, and PDF.</w:t>
      </w:r>
    </w:p>
    <w:p>
      <w:pPr>
        <w:pStyle w:val="ListParagraph"/>
      </w:pPr>
      <w:r>
        <w:t xml:space="preserve">3. Run Python syntax checks, unit tests, and palm-decode tests.</w:t>
      </w:r>
    </w:p>
    <w:p>
      <w:pPr>
        <w:pStyle w:val="ListParagraph"/>
      </w:pPr>
      <w:r>
        <w:t xml:space="preserve">4. Verify DOCX package integrity and PDF generation.</w:t>
      </w:r>
    </w:p>
    <w:p>
      <w:pPr>
        <w:pStyle w:val="ListParagraph"/>
      </w:pPr>
      <w:r>
        <w:t xml:space="preserve">5. Record the exact private build revision used for submission.</w:t>
      </w:r>
    </w:p>
    <w:p>
      <w:pPr>
        <w:pStyle w:val="Normal"/>
      </w:pPr>
      <w:r>
        <w:t xml:space="preserve">No public GitHub URL, source archive, or source-code listing is required for reading this report. If an evaluator requires code access, it should be provided separately through the course's private submission channel.</w:t>
      </w:r>
    </w:p>
    <w:p>
      <w:pPr>
        <w:pStyle w:val="Normal"/>
      </w:pPr>
    </w:p>
    <w:p>
      <w:pPr>
        <w:pStyle w:val="Heading2"/>
      </w:pPr>
      <w:r>
        <w:t xml:space="preserve">Appendix B. Private Artifact Summary</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Artifact category</w:t>
            </w:r>
          </w:p>
        </w:tc>
        <w:tc>
          <w:tcPr>
            <w:shd w:fill="E2E8F0"/>
          </w:tcPr>
          <w:p>
            <w:pPr>
              <w:pStyle w:val="Normal"/>
            </w:pPr>
            <w:r>
              <w:t xml:space="preserve">Description</w:t>
            </w:r>
          </w:p>
        </w:tc>
      </w:tr>
      <w:tr>
        <w:tc>
          <w:tcPr/>
          <w:p>
            <w:pPr>
              <w:pStyle w:val="Normal"/>
            </w:pPr>
            <w:r>
              <w:t xml:space="preserve">Runtime application</w:t>
            </w:r>
          </w:p>
        </w:tc>
        <w:tc>
          <w:tcPr/>
          <w:p>
            <w:pPr>
              <w:pStyle w:val="Normal"/>
            </w:pPr>
            <w:r>
              <w:t xml:space="preserve">Private camera-to-audio application for drum and piano modes</w:t>
            </w:r>
          </w:p>
        </w:tc>
      </w:tr>
      <w:tr>
        <w:tc>
          <w:tcPr/>
          <w:p>
            <w:pPr>
              <w:pStyle w:val="Normal"/>
            </w:pPr>
            <w:r>
              <w:t xml:space="preserve">Tracking backends</w:t>
            </w:r>
          </w:p>
        </w:tc>
        <w:tc>
          <w:tcPr/>
          <w:p>
            <w:pPr>
              <w:pStyle w:val="Normal"/>
            </w:pPr>
            <w:r>
              <w:t xml:space="preserve">CPU MediaPipe, CPU TFLite baseline, hybrid CPU+NPU, and NPU dual-halves paths</w:t>
            </w:r>
          </w:p>
        </w:tc>
      </w:tr>
      <w:tr>
        <w:tc>
          <w:tcPr/>
          <w:p>
            <w:pPr>
              <w:pStyle w:val="Normal"/>
            </w:pPr>
            <w:r>
              <w:t xml:space="preserve">Strike-detection logic</w:t>
            </w:r>
          </w:p>
        </w:tc>
        <w:tc>
          <w:tcPr/>
          <w:p>
            <w:pPr>
              <w:pStyle w:val="Normal"/>
            </w:pPr>
            <w:r>
              <w:t xml:space="preserve">Fingertip velocity, joint angular velocity, confidence filtering, and cooldown handling</w:t>
            </w:r>
          </w:p>
        </w:tc>
      </w:tr>
      <w:tr>
        <w:tc>
          <w:tcPr/>
          <w:p>
            <w:pPr>
              <w:pStyle w:val="Normal"/>
            </w:pPr>
            <w:r>
              <w:t xml:space="preserve">Configuration examples</w:t>
            </w:r>
          </w:p>
        </w:tc>
        <w:tc>
          <w:tcPr/>
          <w:p>
            <w:pPr>
              <w:pStyle w:val="Normal"/>
            </w:pPr>
            <w:r>
              <w:t xml:space="preserve">Private drum-pad and piano-note layout examples used to generate the figures</w:t>
            </w:r>
          </w:p>
        </w:tc>
      </w:tr>
      <w:tr>
        <w:tc>
          <w:tcPr/>
          <w:p>
            <w:pPr>
              <w:pStyle w:val="Normal"/>
            </w:pPr>
            <w:r>
              <w:t xml:space="preserve">Generated figures</w:t>
            </w:r>
          </w:p>
        </w:tc>
        <w:tc>
          <w:tcPr/>
          <w:p>
            <w:pPr>
              <w:pStyle w:val="Normal"/>
            </w:pPr>
            <w:r>
              <w:t xml:space="preserve">Report diagrams, instrument layout images, and the PANDA icon included in this report</w:t>
            </w:r>
          </w:p>
        </w:tc>
      </w:tr>
      <w:tr>
        <w:tc>
          <w:tcPr/>
          <w:p>
            <w:pPr>
              <w:pStyle w:val="Normal"/>
            </w:pPr>
            <w:r>
              <w:t xml:space="preserve">Validation outputs</w:t>
            </w:r>
          </w:p>
        </w:tc>
        <w:tc>
          <w:tcPr/>
          <w:p>
            <w:pPr>
              <w:pStyle w:val="Normal"/>
            </w:pPr>
            <w:r>
              <w:t xml:space="preserve">Syntax checks, unit tests, palm-decode tests, DOCX integrity checks, and PDF export checks</w:t>
            </w:r>
          </w:p>
        </w:tc>
      </w:tr>
    </w:tbl>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s>
</file>