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report figures and as sidebar assets, keeping the report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MediaPipe Hands / hand landmark model family, used through CPU MediaPipe and TFLite-derived pipeline paths. [2] OpenCV, used for camera capture, drawing, and display. [3] pygame, used for low-latency playback of pre-rendered PCM sound buffers. [4] DeepX DX-RT / DX-COM toolchain, used for </w:t>
      </w:r>
      <w:r>
        <w:rPr>
          <w:rFonts w:ascii="Courier New" w:hAnsi="Courier New"/>
        </w:rPr>
        <w:t xml:space="preserve">.dxnn</w:t>
      </w:r>
      <w:r>
        <w:t xml:space="preserve"> NPU hand-landmark inference experiments.</w:t>
      </w:r>
    </w:p>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