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enabled by default, so the performer's left/right hand motion matches the visible camera feed and on-screen targets.</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Live screenshots were captured from the normal, non-guided runtime after the mirror-view update. The non-guided interface uses the same full-camera overlay style as the guided evaluator, but removes cue-specific guidance such as countdowns and "ready" prompts. The drum screenshot uses the CPU+NPU </w:t>
      </w:r>
      <w:r>
        <w:rPr>
          <w:rFonts w:ascii="Courier New" w:hAnsi="Courier New"/>
        </w:rPr>
        <w:t xml:space="preserve">npu-full</w:t>
      </w:r>
      <w:r>
        <w:t xml:space="preserve"> backend and shows the pad-based performance interface with a mirrored camera feed, fingertip landmarks, and recent strike feedback. The piano screenshot shows the live hand-to-note interface with recent strike feedback overlaid on the camera view.</w:t>
      </w:r>
    </w:p>
    <w:p>
      <w:pPr>
        <w:jc w:val="center"/>
      </w:pPr>
      <w:r>
        <w:drawing>
          <wp:inline distT="0" distB="0" distL="0" distR="0">
            <wp:extent cx="5669280" cy="3188970"/>
            <wp:docPr id="7" name="live_drum_interface.png"/>
            <wp:cNvGraphicFramePr>
              <a:graphicFrameLocks noChangeAspect="1"/>
            </wp:cNvGraphicFramePr>
            <a:graphic>
              <a:graphicData uri="http://schemas.openxmlformats.org/drawingml/2006/picture">
                <pic:pic>
                  <pic:nvPicPr>
                    <pic:cNvPr id="7" name="live_drum_interface.png"/>
                    <pic:cNvPicPr/>
                  </pic:nvPicPr>
                  <pic:blipFill>
                    <a:blip r:embed="rId7"/>
                    <a:stretch>
                      <a:fillRect/>
                    </a:stretch>
                  </pic:blipFill>
                  <pic:spPr>
                    <a:xfrm>
                      <a:off x="0" y="0"/>
                      <a:ext cx="5669280" cy="3188970"/>
                    </a:xfrm>
                    <a:prstGeom prst="rect">
                      <a:avLst/>
                    </a:prstGeom>
                  </pic:spPr>
                </pic:pic>
              </a:graphicData>
            </a:graphic>
          </wp:inline>
        </w:drawing>
      </w:r>
    </w:p>
    <w:p>
      <w:pPr>
        <w:pStyle w:val="Caption"/>
      </w:pPr>
      <w:r>
        <w:t xml:space="preserve">Figure 6. Non-guided drum-pad runtime screenshot captured from the mirrored CPU+NPU interface.</w:t>
      </w:r>
    </w:p>
    <w:p>
      <w:pPr>
        <w:jc w:val="center"/>
      </w:pPr>
      <w:r>
        <w:drawing>
          <wp:inline distT="0" distB="0" distL="0" distR="0">
            <wp:extent cx="5669280" cy="3188970"/>
            <wp:docPr id="8" name="live_piano_interface.png"/>
            <wp:cNvGraphicFramePr>
              <a:graphicFrameLocks noChangeAspect="1"/>
            </wp:cNvGraphicFramePr>
            <a:graphic>
              <a:graphicData uri="http://schemas.openxmlformats.org/drawingml/2006/picture">
                <pic:pic>
                  <pic:nvPicPr>
                    <pic:cNvPr id="8" name="live_piano_interface.png"/>
                    <pic:cNvPicPr/>
                  </pic:nvPicPr>
                  <pic:blipFill>
                    <a:blip r:embed="rId8"/>
                    <a:stretch>
                      <a:fillRect/>
                    </a:stretch>
                  </pic:blipFill>
                  <pic:spPr>
                    <a:xfrm>
                      <a:off x="0" y="0"/>
                      <a:ext cx="5669280" cy="3188970"/>
                    </a:xfrm>
                    <a:prstGeom prst="rect">
                      <a:avLst/>
                    </a:prstGeom>
                  </pic:spPr>
                </pic:pic>
              </a:graphicData>
            </a:graphic>
          </wp:inline>
        </w:drawing>
      </w:r>
    </w:p>
    <w:p>
      <w:pPr>
        <w:pStyle w:val="Caption"/>
      </w:pPr>
      <w:r>
        <w:t xml:space="preserve">Figure 7. Non-guided piano runtime screenshot captured from the mirrored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and mode-specific overlays. The camera feed is mirrored by default, producing a selfie-style interface in which moving a hand leftward in physical space also moves it leftward on the screen. This small interface detail is important for playability: without the mirror flip, the performer must mentally invert left/right motion while aiming at drum pads or piano cues.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In piano mode, the note mapping is tied to a mirror-aware physical left/right estimate rather than raw tracker hand order or raw MediaPipe handedness. This keeps the user-specified left-hand and right-hand note ranges stable even when the camera feed is flipped for the performer and even when the hand tracker changes the order of detected hands.</w:t>
      </w:r>
    </w:p>
    <w:p>
      <w:pPr>
        <w:pStyle w:val="Normal"/>
      </w:pPr>
      <w:r>
        <w:t xml:space="preserve">The piano interface also applies a mirror-aware finger-order correction for note mapping. During guided right-hand trials, the mirrored landmark model could treat the physical right hand as if it were the opposite hand, causing the physical pinky to map to the thumb note. The implemented correction swaps thumb with pinky and index with ring for mirrored piano mapping while leaving the raw landmarks unchanged for strike detection.</w:t>
      </w:r>
    </w:p>
    <w:p>
      <w:pPr>
        <w:pStyle w:val="Normal"/>
      </w:pPr>
      <w:r>
        <w:t xml:space="preserve">The generated diagrams are used as report figures and as reference assets for documenting the available mappings.</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 is still a placeholder because it requires synchronized high-speed video/audio capture.</w:t>
      </w:r>
    </w:p>
    <w:p>
      <w:pPr>
        <w:pStyle w:val="Caption"/>
      </w:pPr>
      <w:r>
        <w:t xml:space="preserve">[FILLME image placeholder: Figure 10. FILLME: high-speed-camera setup showing hand motion and speaker/audio waveform for E2E latency measurement.]</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overlays.</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38/38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and the final </w:t>
      </w:r>
      <w:r>
        <w:rPr>
          <w:rFonts w:ascii="Courier New" w:hAnsi="Courier New"/>
        </w:rPr>
        <w:t xml:space="preserve">npu-full</w:t>
      </w:r>
      <w:r>
        <w:t xml:space="preserve"> architecture: CPU palm detection with NPU hand-landmark inference. To reduce the effect of reading and reaction time, the evaluator used a block-repetition protocol. Each target block had a 5 s initial lead-in, a 6 s ready interval before the target, six repeated strikes at 50 BPM, and the first two strikes of each block were excluded from scoring as warm-up beats. Matching used a -0.20 s / +0.80 s cue window and a 0.35 s global event cooldown to reduce duplicate multi-finger detections.</w:t>
      </w:r>
    </w:p>
    <w:p>
      <w:pPr>
        <w:pStyle w:val="Normal"/>
      </w:pPr>
      <w:r>
        <w:t xml:space="preserve">An initial two-hand piano guided run remained nearly unusable, with only 7.5% recall / target accuracy. Therefore, the final piano guided evaluation used a one-hand right-hand protocol covering only </w:t>
      </w:r>
      <w:r>
        <w:rPr>
          <w:rFonts w:ascii="Courier New" w:hAnsi="Courier New"/>
        </w:rPr>
        <w:t xml:space="preserve">C5–G5</w:t>
      </w:r>
      <w:r>
        <w:t xml:space="preserve">, with the tracker limited to one hand and mirror-aware finger-order correction enabled. This change directly targets the observed failure mode where the physical right hand was interpreted with left-hand-like finger order, making the physical pinky behave like the thumb note.</w:t>
      </w:r>
    </w:p>
    <w:p>
      <w:pPr>
        <w:pStyle w:val="Normal"/>
      </w:pPr>
      <w:r>
        <w:t xml:space="preserve">Figures 11 and 12 show the guided evaluator UI used for this measurement. Unlike the normal runtime screenshots in Section 2.2, these screens include the current cue, readiness countdown, cue index, target hint, and the accepted matching window.</w:t>
      </w:r>
    </w:p>
    <w:p>
      <w:pPr>
        <w:jc w:val="center"/>
      </w:pPr>
      <w:r>
        <w:drawing>
          <wp:inline distT="0" distB="0" distL="0" distR="0">
            <wp:extent cx="5608320" cy="4206240"/>
            <wp:docPr id="11" name="guided_eval_drum_live.png"/>
            <wp:cNvGraphicFramePr>
              <a:graphicFrameLocks noChangeAspect="1"/>
            </wp:cNvGraphicFramePr>
            <a:graphic>
              <a:graphicData uri="http://schemas.openxmlformats.org/drawingml/2006/picture">
                <pic:pic>
                  <pic:nvPicPr>
                    <pic:cNvPr id="11" name="guided_eval_drum_live.png"/>
                    <pic:cNvPicPr/>
                  </pic:nvPicPr>
                  <pic:blipFill>
                    <a:blip r:embed="rId11"/>
                    <a:stretch>
                      <a:fillRect/>
                    </a:stretch>
                  </pic:blipFill>
                  <pic:spPr>
                    <a:xfrm>
                      <a:off x="0" y="0"/>
                      <a:ext cx="5608320" cy="4206240"/>
                    </a:xfrm>
                    <a:prstGeom prst="rect">
                      <a:avLst/>
                    </a:prstGeom>
                  </pic:spPr>
                </pic:pic>
              </a:graphicData>
            </a:graphic>
          </wp:inline>
        </w:drawing>
      </w:r>
    </w:p>
    <w:p>
      <w:pPr>
        <w:pStyle w:val="Caption"/>
      </w:pPr>
      <w:r>
        <w:t xml:space="preserve">Figure 11. Guided drum evaluation screenshot showing the current pad cue and mirrored pad overlay.</w:t>
      </w:r>
    </w:p>
    <w:p>
      <w:pPr>
        <w:jc w:val="center"/>
      </w:pPr>
      <w:r>
        <w:drawing>
          <wp:inline distT="0" distB="0" distL="0" distR="0">
            <wp:extent cx="5608320" cy="4206240"/>
            <wp:docPr id="12" name="guided_eval_piano_live.png"/>
            <wp:cNvGraphicFramePr>
              <a:graphicFrameLocks noChangeAspect="1"/>
            </wp:cNvGraphicFramePr>
            <a:graphic>
              <a:graphicData uri="http://schemas.openxmlformats.org/drawingml/2006/picture">
                <pic:pic>
                  <pic:nvPicPr>
                    <pic:cNvPr id="12" name="guided_eval_piano_live.png"/>
                    <pic:cNvPicPr/>
                  </pic:nvPicPr>
                  <pic:blipFill>
                    <a:blip r:embed="rId12"/>
                    <a:stretch>
                      <a:fillRect/>
                    </a:stretch>
                  </pic:blipFill>
                  <pic:spPr>
                    <a:xfrm>
                      <a:off x="0" y="0"/>
                      <a:ext cx="5608320" cy="4206240"/>
                    </a:xfrm>
                    <a:prstGeom prst="rect">
                      <a:avLst/>
                    </a:prstGeom>
                  </pic:spPr>
                </pic:pic>
              </a:graphicData>
            </a:graphic>
          </wp:inline>
        </w:drawing>
      </w:r>
    </w:p>
    <w:p>
      <w:pPr>
        <w:pStyle w:val="Caption"/>
      </w:pPr>
      <w:r>
        <w:t xml:space="preserve">Figure 12. Guided piano evaluation screenshot showing the current note cue and suggested finger.</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Scored 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32</w:t>
            </w:r>
          </w:p>
        </w:tc>
        <w:tc>
          <w:tcPr/>
          <w:p>
            <w:pPr>
              <w:pStyle w:val="Normal"/>
            </w:pPr>
            <w:r>
              <w:t xml:space="preserve">11</w:t>
            </w:r>
          </w:p>
        </w:tc>
        <w:tc>
          <w:tcPr/>
          <w:p>
            <w:pPr>
              <w:pStyle w:val="Normal"/>
            </w:pPr>
            <w:r>
              <w:t xml:space="preserve">106</w:t>
            </w:r>
          </w:p>
        </w:tc>
        <w:tc>
          <w:tcPr/>
          <w:p>
            <w:pPr>
              <w:pStyle w:val="Normal"/>
            </w:pPr>
            <w:r>
              <w:t xml:space="preserve">21</w:t>
            </w:r>
          </w:p>
        </w:tc>
        <w:tc>
          <w:tcPr/>
          <w:p>
            <w:pPr>
              <w:pStyle w:val="Normal"/>
            </w:pPr>
            <w:r>
              <w:t xml:space="preserve">9.4%</w:t>
            </w:r>
          </w:p>
        </w:tc>
        <w:tc>
          <w:tcPr/>
          <w:p>
            <w:pPr>
              <w:pStyle w:val="Normal"/>
            </w:pPr>
            <w:r>
              <w:t xml:space="preserve">34.4%</w:t>
            </w:r>
          </w:p>
        </w:tc>
        <w:tc>
          <w:tcPr/>
          <w:p>
            <w:pPr>
              <w:pStyle w:val="Normal"/>
            </w:pPr>
            <w:r>
              <w:t xml:space="preserve">333 ms</w:t>
            </w:r>
          </w:p>
        </w:tc>
      </w:tr>
      <w:tr>
        <w:tc>
          <w:tcPr/>
          <w:p>
            <w:pPr>
              <w:pStyle w:val="Normal"/>
            </w:pPr>
            <w:r>
              <w:t xml:space="preserve">Piano, two hands (diagnostic)</w:t>
            </w:r>
          </w:p>
        </w:tc>
        <w:tc>
          <w:tcPr/>
          <w:p>
            <w:pPr>
              <w:pStyle w:val="Normal"/>
            </w:pPr>
            <w:r>
              <w:t xml:space="preserve">40</w:t>
            </w:r>
          </w:p>
        </w:tc>
        <w:tc>
          <w:tcPr/>
          <w:p>
            <w:pPr>
              <w:pStyle w:val="Normal"/>
            </w:pPr>
            <w:r>
              <w:t xml:space="preserve">3</w:t>
            </w:r>
          </w:p>
        </w:tc>
        <w:tc>
          <w:tcPr/>
          <w:p>
            <w:pPr>
              <w:pStyle w:val="Normal"/>
            </w:pPr>
            <w:r>
              <w:t xml:space="preserve">79</w:t>
            </w:r>
          </w:p>
        </w:tc>
        <w:tc>
          <w:tcPr/>
          <w:p>
            <w:pPr>
              <w:pStyle w:val="Normal"/>
            </w:pPr>
            <w:r>
              <w:t xml:space="preserve">37</w:t>
            </w:r>
          </w:p>
        </w:tc>
        <w:tc>
          <w:tcPr/>
          <w:p>
            <w:pPr>
              <w:pStyle w:val="Normal"/>
            </w:pPr>
            <w:r>
              <w:t xml:space="preserve">3.7%</w:t>
            </w:r>
          </w:p>
        </w:tc>
        <w:tc>
          <w:tcPr/>
          <w:p>
            <w:pPr>
              <w:pStyle w:val="Normal"/>
            </w:pPr>
            <w:r>
              <w:t xml:space="preserve">7.5%</w:t>
            </w:r>
          </w:p>
        </w:tc>
        <w:tc>
          <w:tcPr/>
          <w:p>
            <w:pPr>
              <w:pStyle w:val="Normal"/>
            </w:pPr>
            <w:r>
              <w:t xml:space="preserve">291 ms</w:t>
            </w:r>
          </w:p>
        </w:tc>
      </w:tr>
      <w:tr>
        <w:tc>
          <w:tcPr/>
          <w:p>
            <w:pPr>
              <w:pStyle w:val="Normal"/>
            </w:pPr>
            <w:r>
              <w:t xml:space="preserve">Piano, right hand only</w:t>
            </w:r>
          </w:p>
        </w:tc>
        <w:tc>
          <w:tcPr/>
          <w:p>
            <w:pPr>
              <w:pStyle w:val="Normal"/>
            </w:pPr>
            <w:r>
              <w:t xml:space="preserve">20</w:t>
            </w:r>
          </w:p>
        </w:tc>
        <w:tc>
          <w:tcPr/>
          <w:p>
            <w:pPr>
              <w:pStyle w:val="Normal"/>
            </w:pPr>
            <w:r>
              <w:t xml:space="preserve">3</w:t>
            </w:r>
          </w:p>
        </w:tc>
        <w:tc>
          <w:tcPr/>
          <w:p>
            <w:pPr>
              <w:pStyle w:val="Normal"/>
            </w:pPr>
            <w:r>
              <w:t xml:space="preserve">32</w:t>
            </w:r>
          </w:p>
        </w:tc>
        <w:tc>
          <w:tcPr/>
          <w:p>
            <w:pPr>
              <w:pStyle w:val="Normal"/>
            </w:pPr>
            <w:r>
              <w:t xml:space="preserve">17</w:t>
            </w:r>
          </w:p>
        </w:tc>
        <w:tc>
          <w:tcPr/>
          <w:p>
            <w:pPr>
              <w:pStyle w:val="Normal"/>
            </w:pPr>
            <w:r>
              <w:t xml:space="preserve">8.6%</w:t>
            </w:r>
          </w:p>
        </w:tc>
        <w:tc>
          <w:tcPr/>
          <w:p>
            <w:pPr>
              <w:pStyle w:val="Normal"/>
            </w:pPr>
            <w:r>
              <w:t xml:space="preserve">15.0%</w:t>
            </w:r>
          </w:p>
        </w:tc>
        <w:tc>
          <w:tcPr/>
          <w:p>
            <w:pPr>
              <w:pStyle w:val="Normal"/>
            </w:pPr>
            <w:r>
              <w:t xml:space="preserve">304 ms</w:t>
            </w:r>
          </w:p>
        </w:tc>
      </w:tr>
    </w:tbl>
    <w:p>
      <w:pPr>
        <w:jc w:val="center"/>
      </w:pPr>
      <w:r>
        <w:drawing>
          <wp:inline distT="0" distB="0" distL="0" distR="0">
            <wp:extent cx="5669280" cy="1820756"/>
            <wp:docPr id="13" name="guided_eval_results.png"/>
            <wp:cNvGraphicFramePr>
              <a:graphicFrameLocks noChangeAspect="1"/>
            </wp:cNvGraphicFramePr>
            <a:graphic>
              <a:graphicData uri="http://schemas.openxmlformats.org/drawingml/2006/picture">
                <pic:pic>
                  <pic:nvPicPr>
                    <pic:cNvPr id="13" name="guided_eval_results.png"/>
                    <pic:cNvPicPr/>
                  </pic:nvPicPr>
                  <pic:blipFill>
                    <a:blip r:embed="rId13"/>
                    <a:stretch>
                      <a:fillRect/>
                    </a:stretch>
                  </pic:blipFill>
                  <pic:spPr>
                    <a:xfrm>
                      <a:off x="0" y="0"/>
                      <a:ext cx="5669280" cy="1820756"/>
                    </a:xfrm>
                    <a:prstGeom prst="rect">
                      <a:avLst/>
                    </a:prstGeom>
                  </pic:spPr>
                </pic:pic>
              </a:graphicData>
            </a:graphic>
          </wp:inline>
        </w:drawing>
      </w:r>
    </w:p>
    <w:p>
      <w:pPr>
        <w:pStyle w:val="Caption"/>
      </w:pPr>
      <w:r>
        <w:t xml:space="preserve">Figure 13. Guided evaluation plot generated from the mirrored </w:t>
      </w:r>
      <w:r>
        <w:rPr>
          <w:rFonts w:ascii="Courier New" w:hAnsi="Courier New"/>
        </w:rPr>
        <w:t xml:space="preserve">npu-full</w:t>
      </w:r>
      <w:r>
        <w:t xml:space="preserve"> block-repetition drum, two-hand piano, and one-hand piano runs.</w:t>
      </w:r>
    </w:p>
    <w:p>
      <w:pPr>
        <w:pStyle w:val="Normal"/>
      </w:pPr>
      <w:r>
        <w:t xml:space="preserve">The drum-pad interface performed better than the piano interface because drum mode only requires the fingertip strike to land inside a visible rectangle, while piano mode requires stable hand side and finger identity. The two-hand piano diagnostic run confirms this difficulty: many strikes were detected, but most did not match the prompted note. Restricting piano evaluation to one right hand improved target accuracy from 7.5% to 15.0%, but the absolute value remains low and indicates that finger identity, mirrored-hand interpretation, and duplicate-strike suppression need more work.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s>
</file>