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2147"/>
          <w:sz w:val="44"/>
        </w:rPr>
        <w:t>Presentation Script</w:t>
      </w:r>
    </w:p>
    <w:p>
      <w:pPr>
        <w:spacing w:after="40"/>
        <w:jc w:val="center"/>
      </w:pPr>
      <w:r>
        <w:rPr>
          <w:i/>
          <w:color w:val="2A2A28"/>
          <w:sz w:val="24"/>
        </w:rPr>
        <w:t>Prostate Cancer in America: Who Gets Diagnosed, Who Survives, and Why It's Not Equal</w:t>
      </w:r>
    </w:p>
    <w:p>
      <w:pPr>
        <w:spacing w:after="240"/>
        <w:jc w:val="center"/>
      </w:pPr>
      <w:r>
        <w:rPr>
          <w:color w:val="C4A35A"/>
          <w:sz w:val="22"/>
        </w:rPr>
        <w:t>Ava McClinton  ·  GWU DATS 4001  ·  Spring 2026</w:t>
      </w:r>
    </w:p>
    <w:tbl>
      <w:tblPr>
        <w:tblStyle w:val="TableGrid"/>
        <w:tblW w:type="auto" w:w="0"/>
        <w:tblLook w:firstColumn="1" w:firstRow="1" w:lastColumn="0" w:lastRow="0" w:noHBand="0" w:noVBand="1" w:val="04A0"/>
      </w:tblPr>
      <w:tblGrid>
        <w:gridCol w:w="9072"/>
      </w:tblGrid>
      <w:tr>
        <w:tc>
          <w:tcPr>
            <w:tcW w:type="dxa" w:w="9072"/>
            <w:shd w:val="clear" w:color="auto" w:fill="E8F4FD"/>
          </w:tcPr>
          <w:p>
            <w:pPr>
              <w:spacing w:before="80" w:after="80"/>
            </w:pPr>
            <w:r>
              <w:rPr>
                <w:b/>
                <w:color w:val="002147"/>
                <w:sz w:val="20"/>
              </w:rPr>
              <w:t xml:space="preserve">How to use this script:  </w:t>
            </w:r>
            <w:r>
              <w:rPr>
                <w:color w:val="2A2A28"/>
                <w:sz w:val="20"/>
              </w:rPr>
              <w:t>The main script is in plain language for any audience. Yellow boxes give you deeper technical explanations to pull out when a professor or technical audience member asks a follow-up.</w:t>
            </w:r>
          </w:p>
        </w:tc>
      </w:tr>
    </w:tbl>
    <w:p>
      <w:pPr>
        <w:spacing w:after="40"/>
      </w:pPr>
    </w:p>
    <w:p>
      <w:pPr>
        <w:spacing w:before="320" w:after="80"/>
        <w:pBdr>
          <w:bottom w:val="single" w:sz="6" w:space="4" w:color="002147"/>
        </w:pBdr>
      </w:pPr>
      <w:r>
        <w:rPr>
          <w:b/>
          <w:color w:val="002147"/>
          <w:sz w:val="30"/>
        </w:rPr>
        <w:t>Quick Tips for the Presentation</w:t>
      </w:r>
    </w:p>
    <w:p>
      <w:pPr>
        <w:spacing w:before="20" w:after="100"/>
      </w:pPr>
      <w:r>
        <w:rPr>
          <w:i w:val="0"/>
          <w:color w:val="2A2A28"/>
          <w:sz w:val="22"/>
        </w:rPr>
        <w:t>• A poster session is a conversation, not a lecture. Aim for 2–3 minutes per visitor, then invite questions.</w:t>
      </w:r>
    </w:p>
    <w:p>
      <w:pPr>
        <w:spacing w:before="20" w:after="100"/>
      </w:pPr>
      <w:r>
        <w:rPr>
          <w:i w:val="0"/>
          <w:color w:val="2A2A28"/>
          <w:sz w:val="22"/>
        </w:rPr>
        <w:t>• Point to sections of the poster as you speak — it keeps your audience engaged and gives you a natural rhythm.</w:t>
      </w:r>
    </w:p>
    <w:p>
      <w:pPr>
        <w:spacing w:before="20" w:after="100"/>
      </w:pPr>
      <w:r>
        <w:rPr>
          <w:i w:val="0"/>
          <w:color w:val="2A2A28"/>
          <w:sz w:val="22"/>
        </w:rPr>
        <w:t>• It’s okay to say “great question — here’s what the data does show...”</w:t>
      </w:r>
    </w:p>
    <w:p>
      <w:pPr>
        <w:spacing w:before="20" w:after="100"/>
      </w:pPr>
      <w:r>
        <w:rPr>
          <w:i w:val="0"/>
          <w:color w:val="2A2A28"/>
          <w:sz w:val="22"/>
        </w:rPr>
        <w:t>• Your personal story and passion for the topic are your biggest assets. Lead with them.</w:t>
      </w:r>
    </w:p>
    <w:p>
      <w:pPr>
        <w:spacing w:before="320" w:after="80"/>
        <w:pBdr>
          <w:bottom w:val="single" w:sz="6" w:space="4" w:color="002147"/>
        </w:pBdr>
      </w:pPr>
      <w:r>
        <w:rPr>
          <w:b/>
          <w:color w:val="002147"/>
          <w:sz w:val="30"/>
        </w:rPr>
        <w:t>1.  Opening — Hook  [~30 seconds]</w:t>
      </w:r>
    </w:p>
    <w:p>
      <w:pPr>
        <w:spacing w:before="20" w:after="100"/>
      </w:pPr>
      <w:r>
        <w:rPr>
          <w:i w:val="0"/>
          <w:color w:val="2A2A28"/>
          <w:sz w:val="22"/>
        </w:rPr>
        <w:t>“Hi, thanks for stopping by! My name is Ava McClinton and I’m a senior in GW’s Data Science program.”</w:t>
      </w:r>
    </w:p>
    <w:p>
      <w:pPr>
        <w:spacing w:before="20" w:after="100"/>
      </w:pPr>
      <w:r>
        <w:rPr>
          <w:i w:val="0"/>
          <w:color w:val="2A2A28"/>
          <w:sz w:val="22"/>
        </w:rPr>
        <w:t>“This project is personal to me — my grandfather was recently diagnosed with prostate cancer. When I tried to find clear, accessible information, I kept hitting a wall. Resources were either too clinical or too vague.”</w:t>
      </w:r>
    </w:p>
    <w:p>
      <w:pPr>
        <w:spacing w:before="20" w:after="100"/>
      </w:pPr>
      <w:r>
        <w:rPr>
          <w:i w:val="0"/>
          <w:color w:val="2A2A28"/>
          <w:sz w:val="22"/>
        </w:rPr>
        <w:t>“So I built something I wished had existed: an interactive data dashboard that lets anyone — patients, families, doctors, policy advocates — explore the real national data on prostate cancer. Who’s getting diagnosed, who survives, and why those outcomes are so unequal.”</w:t>
      </w:r>
    </w:p>
    <w:p>
      <w:pPr>
        <w:spacing w:before="20" w:after="100"/>
      </w:pPr>
      <w:r>
        <w:rPr>
          <w:i/>
          <w:color w:val="006B6B"/>
          <w:sz w:val="22"/>
        </w:rPr>
        <w:t>[Pause and let them take in the poster for a moment.]</w:t>
      </w:r>
    </w:p>
    <w:p>
      <w:pPr>
        <w:spacing w:before="320" w:after="80"/>
        <w:pBdr>
          <w:bottom w:val="single" w:sz="6" w:space="4" w:color="002147"/>
        </w:pBdr>
      </w:pPr>
      <w:r>
        <w:rPr>
          <w:b/>
          <w:color w:val="002147"/>
          <w:sz w:val="30"/>
        </w:rPr>
        <w:t>2.  Introduction &amp; Background  [~45 seconds]</w:t>
      </w:r>
    </w:p>
    <w:p>
      <w:pPr>
        <w:spacing w:before="20" w:after="100"/>
      </w:pPr>
      <w:r>
        <w:rPr>
          <w:i w:val="0"/>
          <w:color w:val="2A2A28"/>
          <w:sz w:val="22"/>
        </w:rPr>
        <w:t>“Quick context: prostate cancer is the most common cancer in American men besides skin cancer. About 1 in 8 men will be diagnosed in their lifetime. In 2025 alone, the American Cancer Society estimated over 313,000 new diagnoses.”</w:t>
      </w:r>
    </w:p>
    <w:p>
      <w:pPr>
        <w:spacing w:before="20" w:after="100"/>
      </w:pPr>
      <w:r>
        <w:rPr>
          <w:i w:val="0"/>
          <w:color w:val="2A2A28"/>
          <w:sz w:val="22"/>
        </w:rPr>
        <w:t>“Here’s the paradox my project centers on: overall diagnosis rates have been falling for years. That sounds like good news — but when you dig into the data, late-stage diagnoses have gone up 50% over the same period. Men who would have been caught early are showing up with cancer that’s already spread.”</w:t>
      </w:r>
    </w:p>
    <w:p>
      <w:pPr>
        <w:spacing w:before="20" w:after="100"/>
      </w:pPr>
      <w:r>
        <w:rPr>
          <w:i w:val="0"/>
          <w:color w:val="2A2A28"/>
          <w:sz w:val="22"/>
        </w:rPr>
        <w:t>“And outcomes are deeply unequal depending on race and where you live. That’s what this project is about.”</w:t>
      </w:r>
    </w:p>
    <w:tbl>
      <w:tblPr>
        <w:tblStyle w:val="TableGrid"/>
        <w:tblW w:type="auto" w:w="0"/>
        <w:tblLook w:firstColumn="1" w:firstRow="1" w:lastColumn="0" w:lastRow="0" w:noHBand="0" w:noVBand="1" w:val="04A0"/>
      </w:tblPr>
      <w:tblGrid>
        <w:gridCol w:w="9072"/>
      </w:tblGrid>
      <w:tr>
        <w:tc>
          <w:tcPr>
            <w:tcW w:type="dxa" w:w="9072"/>
            <w:shd w:val="clear" w:color="auto" w:fill="FFF8E8"/>
          </w:tcPr>
          <w:p>
            <w:pPr>
              <w:spacing w:before="80" w:after="40"/>
            </w:pPr>
            <w:r>
              <w:rPr>
                <w:b/>
                <w:color w:val="7B0000"/>
                <w:sz w:val="20"/>
              </w:rPr>
              <w:t>🔬 IF ASKED — Why are late-stage diagnoses rising if overall rates are falling?</w:t>
            </w:r>
          </w:p>
          <w:p>
            <w:pPr>
              <w:spacing w:before="40" w:after="60"/>
            </w:pPr>
            <w:r>
              <w:rPr>
                <w:color w:val="2A2A28"/>
                <w:sz w:val="20"/>
              </w:rPr>
              <w:t>In 2012, the U.S. Preventive Services Task Force issued a Grade D recommendation against routine PSA screening for all men, citing overdiagnosis concerns. This caused a sharp drop in screening — and the cancer doesn’t disappear, it just gets found later. In 2018, USPSTF revised this to Grade C, encouraging shared decision-making for men aged 55–69. My dashboard marks both policy shifts on the trend charts so users can see the before-and-after effect directly in the data.</w:t>
            </w:r>
          </w:p>
        </w:tc>
      </w:tr>
    </w:tbl>
    <w:p>
      <w:pPr>
        <w:spacing w:after="40"/>
      </w:pPr>
    </w:p>
    <w:p>
      <w:pPr>
        <w:spacing w:before="320" w:after="80"/>
        <w:pBdr>
          <w:bottom w:val="single" w:sz="6" w:space="4" w:color="002147"/>
        </w:pBdr>
      </w:pPr>
      <w:r>
        <w:rPr>
          <w:b/>
          <w:color w:val="002147"/>
          <w:sz w:val="30"/>
        </w:rPr>
        <w:t>3.  The Dashboard — What I Built  [~45 seconds]</w:t>
      </w:r>
    </w:p>
    <w:p>
      <w:pPr>
        <w:spacing w:before="20" w:after="100"/>
      </w:pPr>
      <w:r>
        <w:rPr>
          <w:i w:val="0"/>
          <w:color w:val="2A2A28"/>
          <w:sz w:val="22"/>
        </w:rPr>
        <w:t>“The core of this project is an interactive web dashboard powered by over 268,000 real patient records from the NCI’s SEER 22 database — the gold standard for cancer surveillance data in the U.S., covering 1999 to 2022.”</w:t>
      </w:r>
    </w:p>
    <w:p>
      <w:pPr>
        <w:spacing w:before="20" w:after="100"/>
      </w:pPr>
      <w:r>
        <w:rPr>
          <w:i w:val="0"/>
          <w:color w:val="2A2A28"/>
          <w:sz w:val="22"/>
        </w:rPr>
        <w:t>“The dashboard has eight charts: incidence trends, mortality, survival by stage, racial disparities, a state-by-state geographic map, age at diagnosis, race-stratified trends over time, and an incidence vs. mortality scatter by race.”</w:t>
      </w:r>
    </w:p>
    <w:p>
      <w:pPr>
        <w:spacing w:before="20" w:after="100"/>
      </w:pPr>
      <w:r>
        <w:rPr>
          <w:i w:val="0"/>
          <w:color w:val="2A2A28"/>
          <w:sz w:val="22"/>
        </w:rPr>
        <w:t>“You can filter by race, state, year range, and cancer stage — everything updates in real time. The goal was to make this data usable by anyone, not just researchers.”</w:t>
      </w:r>
    </w:p>
    <w:tbl>
      <w:tblPr>
        <w:tblStyle w:val="TableGrid"/>
        <w:tblW w:type="auto" w:w="0"/>
        <w:tblLook w:firstColumn="1" w:firstRow="1" w:lastColumn="0" w:lastRow="0" w:noHBand="0" w:noVBand="1" w:val="04A0"/>
      </w:tblPr>
      <w:tblGrid>
        <w:gridCol w:w="9072"/>
      </w:tblGrid>
      <w:tr>
        <w:tc>
          <w:tcPr>
            <w:tcW w:type="dxa" w:w="9072"/>
            <w:shd w:val="clear" w:color="auto" w:fill="FFF8E8"/>
          </w:tcPr>
          <w:p>
            <w:pPr>
              <w:spacing w:before="80" w:after="40"/>
            </w:pPr>
            <w:r>
              <w:rPr>
                <w:b/>
                <w:color w:val="7B0000"/>
                <w:sz w:val="20"/>
              </w:rPr>
              <w:t>🔬 IF ASKED — What’s the tech stack?</w:t>
            </w:r>
          </w:p>
          <w:p>
            <w:pPr>
              <w:spacing w:before="40" w:after="60"/>
            </w:pPr>
            <w:r>
              <w:rPr>
                <w:color w:val="2A2A28"/>
                <w:sz w:val="20"/>
              </w:rPr>
              <w:t>Flask backend serving JSON API endpoints, SQLite database with 9 pre-processed tables, and a single-page HTML/JavaScript frontend with Plotly.js for interactive charts. I also built a standalone version — a single self-contained HTML file with embedded data — so the dashboard works in any browser without a running server. Data was cleaned and structured offline using Python and pandas, then all user queries run live against the SQLite database.</w:t>
            </w:r>
          </w:p>
        </w:tc>
      </w:tr>
    </w:tbl>
    <w:p>
      <w:pPr>
        <w:spacing w:after="40"/>
      </w:pPr>
    </w:p>
    <w:p>
      <w:pPr>
        <w:spacing w:before="320" w:after="80"/>
        <w:pBdr>
          <w:bottom w:val="single" w:sz="6" w:space="4" w:color="002147"/>
        </w:pBdr>
      </w:pPr>
      <w:r>
        <w:rPr>
          <w:b/>
          <w:color w:val="002147"/>
          <w:sz w:val="30"/>
        </w:rPr>
        <w:t>4.  Finding 1 — The Screening Paradox  [~45 seconds]</w:t>
      </w:r>
    </w:p>
    <w:p>
      <w:pPr>
        <w:spacing w:before="20" w:after="100"/>
      </w:pPr>
      <w:r>
        <w:rPr>
          <w:i/>
          <w:color w:val="006B6B"/>
          <w:sz w:val="22"/>
        </w:rPr>
        <w:t>[Point to the incidence/mortality trend chart.]</w:t>
      </w:r>
    </w:p>
    <w:p>
      <w:pPr>
        <w:spacing w:before="20" w:after="100"/>
      </w:pPr>
      <w:r>
        <w:rPr>
          <w:i w:val="0"/>
          <w:color w:val="2A2A28"/>
          <w:sz w:val="22"/>
        </w:rPr>
        <w:t>“This is my first key finding. You can see localized-stage diagnoses — the blue line — falling from 153 cases per 100,000 men in 2000 down to 91 in 2022. A 40% decline.”</w:t>
      </w:r>
    </w:p>
    <w:p>
      <w:pPr>
        <w:spacing w:before="20" w:after="100"/>
      </w:pPr>
      <w:r>
        <w:rPr>
          <w:i w:val="0"/>
          <w:color w:val="2A2A28"/>
          <w:sz w:val="22"/>
        </w:rPr>
        <w:t>“But the distant-stage diagnoses — cancer that’s already spread — went up 50% over the same period. Those vertical dashed lines mark the 2012 and 2018 USPSTF screening policy changes. You can see exactly where the trend inflects. Policy decisions have real, measurable consequences in the data.”</w:t>
      </w:r>
    </w:p>
    <w:p>
      <w:pPr>
        <w:spacing w:before="320" w:after="80"/>
        <w:pBdr>
          <w:bottom w:val="single" w:sz="6" w:space="4" w:color="002147"/>
        </w:pBdr>
      </w:pPr>
      <w:r>
        <w:rPr>
          <w:b/>
          <w:color w:val="002147"/>
          <w:sz w:val="30"/>
        </w:rPr>
        <w:t>5.  Finding 2 — Racial Disparities  [~45 seconds]</w:t>
      </w:r>
    </w:p>
    <w:p>
      <w:pPr>
        <w:spacing w:before="20" w:after="100"/>
      </w:pPr>
      <w:r>
        <w:rPr>
          <w:i/>
          <w:color w:val="006B6B"/>
          <w:sz w:val="22"/>
        </w:rPr>
        <w:t>[Point to the racial disparities bar chart.]</w:t>
      </w:r>
    </w:p>
    <w:p>
      <w:pPr>
        <w:spacing w:before="20" w:after="100"/>
      </w:pPr>
      <w:r>
        <w:rPr>
          <w:i w:val="0"/>
          <w:color w:val="2A2A28"/>
          <w:sz w:val="22"/>
        </w:rPr>
        <w:t>“This finding I find most striking. Non-Hispanic Black men are diagnosed at a rate 60% higher than White men. But the mortality gap is even bigger — Black men die from prostate cancer at more than twice the rate. 37.9 versus 18.1 deaths per 100,000.”</w:t>
      </w:r>
    </w:p>
    <w:p>
      <w:pPr>
        <w:spacing w:before="20" w:after="100"/>
      </w:pPr>
      <w:r>
        <w:rPr>
          <w:i w:val="0"/>
          <w:color w:val="2A2A28"/>
          <w:sz w:val="22"/>
        </w:rPr>
        <w:t>“And this gap hasn’t meaningfully closed in over 20 years of data. That’s not a biological inevitability — it reflects real structural inequities in access to screening, early detection, and care.”</w:t>
      </w:r>
    </w:p>
    <w:tbl>
      <w:tblPr>
        <w:tblStyle w:val="TableGrid"/>
        <w:tblW w:type="auto" w:w="0"/>
        <w:tblLook w:firstColumn="1" w:firstRow="1" w:lastColumn="0" w:lastRow="0" w:noHBand="0" w:noVBand="1" w:val="04A0"/>
      </w:tblPr>
      <w:tblGrid>
        <w:gridCol w:w="9072"/>
      </w:tblGrid>
      <w:tr>
        <w:tc>
          <w:tcPr>
            <w:tcW w:type="dxa" w:w="9072"/>
            <w:shd w:val="clear" w:color="auto" w:fill="FFF8E8"/>
          </w:tcPr>
          <w:p>
            <w:pPr>
              <w:spacing w:before="80" w:after="40"/>
            </w:pPr>
            <w:r>
              <w:rPr>
                <w:b/>
                <w:color w:val="7B0000"/>
                <w:sz w:val="20"/>
              </w:rPr>
              <w:t>🔬 IF ASKED — How did you model this? Why stratify by race instead of including it as a variable?</w:t>
            </w:r>
          </w:p>
          <w:p>
            <w:pPr>
              <w:spacing w:before="40" w:after="60"/>
            </w:pPr>
            <w:r>
              <w:rPr>
                <w:color w:val="2A2A28"/>
                <w:sz w:val="20"/>
              </w:rPr>
              <w:t>Race is a nominal categorical variable with no natural numeric ordering. Encoding it as integers 1–5 imposes a false ordinal structure. One-hot encoding would work in a pooled model but conflates within-group trend estimation with between-group comparison. Instead, I fit separate OLS regression models for each racial group, giving each group its own intercept and annual trend slope. The pooled baseline (slope = −2.81/100K/year, R² = 0.74) captures the downward national trend but misses that White men’s rates are declining faster than Black men’s post-2012 — a divergence only visible after stratification.</w:t>
            </w:r>
          </w:p>
        </w:tc>
      </w:tr>
    </w:tbl>
    <w:p>
      <w:pPr>
        <w:spacing w:after="40"/>
      </w:pPr>
    </w:p>
    <w:p>
      <w:pPr>
        <w:spacing w:before="320" w:after="80"/>
        <w:pBdr>
          <w:bottom w:val="single" w:sz="6" w:space="4" w:color="002147"/>
        </w:pBdr>
      </w:pPr>
      <w:r>
        <w:rPr>
          <w:b/>
          <w:color w:val="002147"/>
          <w:sz w:val="30"/>
        </w:rPr>
        <w:t>6.  Finding 3 — Stage at Diagnosis Determines Survival  [~30 seconds]</w:t>
      </w:r>
    </w:p>
    <w:p>
      <w:pPr>
        <w:spacing w:before="20" w:after="100"/>
      </w:pPr>
      <w:r>
        <w:rPr>
          <w:i/>
          <w:color w:val="006B6B"/>
          <w:sz w:val="22"/>
        </w:rPr>
        <w:t>[Point to the survival by stage chart.]</w:t>
      </w:r>
    </w:p>
    <w:p>
      <w:pPr>
        <w:spacing w:before="20" w:after="100"/>
      </w:pPr>
      <w:r>
        <w:rPr>
          <w:i w:val="0"/>
          <w:color w:val="2A2A28"/>
          <w:sz w:val="22"/>
        </w:rPr>
        <w:t>“The third finding ties everything together. Men caught at the localized stage — cancer still contained — have a 5-year survival rate of nearly 100%. Men caught at the distant stage have a 38% survival rate. That’s a 62-percentage-point gap.”</w:t>
      </w:r>
    </w:p>
    <w:p>
      <w:pPr>
        <w:spacing w:before="20" w:after="100"/>
      </w:pPr>
      <w:r>
        <w:rPr>
          <w:i w:val="0"/>
          <w:color w:val="2A2A28"/>
          <w:sz w:val="22"/>
        </w:rPr>
        <w:t>“Given that screening rates declined, late-stage diagnoses are rising, and Black men are disproportionately diagnosed later — that survival gap is a direct downstream consequence of those inequities.”</w:t>
      </w:r>
    </w:p>
    <w:p>
      <w:pPr>
        <w:spacing w:before="320" w:after="80"/>
        <w:pBdr>
          <w:bottom w:val="single" w:sz="6" w:space="4" w:color="002147"/>
        </w:pBdr>
      </w:pPr>
      <w:r>
        <w:rPr>
          <w:b/>
          <w:color w:val="002147"/>
          <w:sz w:val="30"/>
        </w:rPr>
        <w:t>7.  Methodology  [30 seconds — expand if technical audience]</w:t>
      </w:r>
    </w:p>
    <w:p>
      <w:pPr>
        <w:spacing w:before="20" w:after="100"/>
      </w:pPr>
      <w:r>
        <w:rPr>
          <w:i w:val="0"/>
          <w:color w:val="2A2A28"/>
          <w:sz w:val="22"/>
        </w:rPr>
        <w:t>“On the methodology side: I pulled data from SEER 22, standardized it in Python, loaded it into SQLite, applied age-adjustment to make comparisons fair across groups and time, and ran stratified OLS regression to model trends within each racial group independently.”</w:t>
      </w:r>
    </w:p>
    <w:p>
      <w:pPr>
        <w:spacing w:before="20" w:after="100"/>
      </w:pPr>
      <w:r>
        <w:rPr>
          <w:i w:val="0"/>
          <w:color w:val="2A2A28"/>
          <w:sz w:val="22"/>
        </w:rPr>
        <w:t>“The dashboard sits on top of that with a Flask API — it queries the database live based on whatever filters the user selects.”</w:t>
      </w:r>
    </w:p>
    <w:tbl>
      <w:tblPr>
        <w:tblStyle w:val="TableGrid"/>
        <w:tblW w:type="auto" w:w="0"/>
        <w:tblLook w:firstColumn="1" w:firstRow="1" w:lastColumn="0" w:lastRow="0" w:noHBand="0" w:noVBand="1" w:val="04A0"/>
      </w:tblPr>
      <w:tblGrid>
        <w:gridCol w:w="9072"/>
      </w:tblGrid>
      <w:tr>
        <w:tc>
          <w:tcPr>
            <w:tcW w:type="dxa" w:w="9072"/>
            <w:shd w:val="clear" w:color="auto" w:fill="FFF8E8"/>
          </w:tcPr>
          <w:p>
            <w:pPr>
              <w:spacing w:before="80" w:after="40"/>
            </w:pPr>
            <w:r>
              <w:rPr>
                <w:b/>
                <w:color w:val="7B0000"/>
                <w:sz w:val="20"/>
              </w:rPr>
              <w:t>🔬 IF ASKED — Why OLS and not Cox regression or a machine learning model?</w:t>
            </w:r>
          </w:p>
          <w:p>
            <w:pPr>
              <w:spacing w:before="40" w:after="60"/>
            </w:pPr>
            <w:r>
              <w:rPr>
                <w:color w:val="2A2A28"/>
                <w:sz w:val="20"/>
              </w:rPr>
              <w:t>This is epidemiological surveillance analysis, not a patient-level survival study. I’m modeling year-over-year aggregate incidence and mortality rates, not individual time-to-event data. Cox regression is designed for individual-level censored survival data — it would be a category error to apply it to population-level rates. OLS on aggregate rates is the standard approach in SEER-based epidemiology. The 5-year survival figures come from SEER’s pre-computed relative survival statistics. A future extension could incorporate Kaplan-Meier curves using SEER’s individual-level records.</w:t>
            </w:r>
          </w:p>
        </w:tc>
      </w:tr>
    </w:tbl>
    <w:p>
      <w:pPr>
        <w:spacing w:after="40"/>
      </w:pPr>
    </w:p>
    <w:p>
      <w:pPr>
        <w:spacing w:before="320" w:after="80"/>
        <w:pBdr>
          <w:bottom w:val="single" w:sz="6" w:space="4" w:color="002147"/>
        </w:pBdr>
      </w:pPr>
      <w:r>
        <w:rPr>
          <w:b/>
          <w:color w:val="002147"/>
          <w:sz w:val="30"/>
        </w:rPr>
        <w:t>8.  Conclusion — Close Strong  [~30 seconds]</w:t>
      </w:r>
    </w:p>
    <w:p>
      <w:pPr>
        <w:spacing w:before="20" w:after="100"/>
      </w:pPr>
      <w:r>
        <w:rPr>
          <w:i w:val="0"/>
          <w:color w:val="2A2A28"/>
          <w:sz w:val="22"/>
        </w:rPr>
        <w:t>“So to wrap up: incidence is falling nationally, but late-stage diagnoses are rising. Racial disparities in mortality are persistent and large. And the difference between a 100% survival rate and 38% is largely about when and whether you get screened.”</w:t>
      </w:r>
    </w:p>
    <w:p>
      <w:pPr>
        <w:spacing w:before="20" w:after="100"/>
      </w:pPr>
      <w:r>
        <w:rPr>
          <w:i w:val="0"/>
          <w:color w:val="2A2A28"/>
          <w:sz w:val="22"/>
        </w:rPr>
        <w:t>“What I built makes all of this visible and accessible — for the patient who just got a diagnosis, the advocate who wants to understand the inequities, and the researcher who wants to explore the data themselves.”</w:t>
      </w:r>
    </w:p>
    <w:p>
      <w:pPr>
        <w:spacing w:before="20" w:after="100"/>
      </w:pPr>
      <w:r>
        <w:rPr>
          <w:i w:val="0"/>
          <w:color w:val="2A2A28"/>
          <w:sz w:val="22"/>
        </w:rPr>
        <w:t>“I’d love to show you the live dashboard if you’re interested, or happy to take any questions!”</w:t>
      </w:r>
    </w:p>
    <w:p>
      <w:pPr>
        <w:spacing w:before="20" w:after="100"/>
      </w:pPr>
      <w:r>
        <w:rPr>
          <w:i/>
          <w:color w:val="006B6B"/>
          <w:sz w:val="22"/>
        </w:rPr>
        <w:t>[Smile. You got this!]</w:t>
      </w:r>
    </w:p>
    <w:p>
      <w:pPr>
        <w:spacing w:before="320" w:after="80"/>
        <w:pBdr>
          <w:bottom w:val="single" w:sz="6" w:space="4" w:color="002147"/>
        </w:pBdr>
      </w:pPr>
      <w:r>
        <w:rPr>
          <w:b/>
          <w:color w:val="002147"/>
          <w:sz w:val="30"/>
        </w:rPr>
        <w:t>9.  Anticipated Q&amp;A</w:t>
      </w:r>
    </w:p>
    <w:p>
      <w:pPr>
        <w:spacing w:before="160" w:after="40"/>
      </w:pPr>
      <w:r>
        <w:rPr>
          <w:b/>
          <w:color w:val="006B6B"/>
          <w:sz w:val="24"/>
        </w:rPr>
        <w:t>"Why prostate cancer specifically?"</w:t>
      </w:r>
    </w:p>
    <w:p>
      <w:pPr>
        <w:spacing w:before="20" w:after="100"/>
      </w:pPr>
      <w:r>
        <w:rPr>
          <w:i w:val="0"/>
          <w:color w:val="2A2A28"/>
          <w:sz w:val="22"/>
        </w:rPr>
        <w:t>"It’s personal — my grandfather was recently diagnosed, and I realized I couldn’t find accessible, clear information. I wanted to build what I wished had existed for my family."</w:t>
      </w:r>
    </w:p>
    <w:p>
      <w:pPr>
        <w:spacing w:before="160" w:after="40"/>
      </w:pPr>
      <w:r>
        <w:rPr>
          <w:b/>
          <w:color w:val="006B6B"/>
          <w:sz w:val="24"/>
        </w:rPr>
        <w:t>"Is the dashboard publicly accessible?"</w:t>
      </w:r>
    </w:p>
    <w:p>
      <w:pPr>
        <w:spacing w:before="20" w:after="100"/>
      </w:pPr>
      <w:r>
        <w:rPr>
          <w:i w:val="0"/>
          <w:color w:val="2A2A28"/>
          <w:sz w:val="22"/>
        </w:rPr>
        <w:t>"The standalone version is a single HTML file that runs in any browser with no server needed. The full Flask version requires a local server, but both are included in my project repository."</w:t>
      </w:r>
    </w:p>
    <w:p>
      <w:pPr>
        <w:spacing w:before="160" w:after="40"/>
      </w:pPr>
      <w:r>
        <w:rPr>
          <w:b/>
          <w:color w:val="006B6B"/>
          <w:sz w:val="24"/>
        </w:rPr>
        <w:t>"What would you do next with more time?"</w:t>
      </w:r>
    </w:p>
    <w:p>
      <w:pPr>
        <w:spacing w:before="20" w:after="100"/>
      </w:pPr>
      <w:r>
        <w:rPr>
          <w:i w:val="0"/>
          <w:color w:val="2A2A28"/>
          <w:sz w:val="22"/>
        </w:rPr>
        <w:t>"Three things: county-level geographic analysis; integrating socioeconomic variables like insurance coverage and income — which SEER doesn’t include — to better explain racial disparities; and a personalized risk module where someone enters their age, race, and state and gets a contextualized risk summary."</w:t>
      </w:r>
    </w:p>
    <w:p>
      <w:pPr>
        <w:spacing w:before="160" w:after="40"/>
      </w:pPr>
      <w:r>
        <w:rPr>
          <w:b/>
          <w:color w:val="006B6B"/>
          <w:sz w:val="24"/>
        </w:rPr>
        <w:t>"How do you know your data is accurate?"</w:t>
      </w:r>
    </w:p>
    <w:p>
      <w:pPr>
        <w:spacing w:before="20" w:after="100"/>
      </w:pPr>
      <w:r>
        <w:rPr>
          <w:i w:val="0"/>
          <w:color w:val="2A2A28"/>
          <w:sz w:val="22"/>
        </w:rPr>
        <w:t>"SEER is the NCI’s official surveillance database — the gold standard. All rates are age-adjusted to the 2000 U.S. standard population, which is the standard for making cross-group comparisons fair. I also cross-validated my calculated rates against published SEER statistics."</w:t>
      </w:r>
    </w:p>
    <w:p>
      <w:pPr>
        <w:spacing w:before="160" w:after="40"/>
      </w:pPr>
      <w:r>
        <w:rPr>
          <w:b/>
          <w:color w:val="006B6B"/>
          <w:sz w:val="24"/>
        </w:rPr>
        <w:t>"Did you use AI in this project?"</w:t>
      </w:r>
    </w:p>
    <w:p>
      <w:pPr>
        <w:spacing w:before="20" w:after="100"/>
      </w:pPr>
      <w:r>
        <w:rPr>
          <w:i w:val="0"/>
          <w:color w:val="2A2A28"/>
          <w:sz w:val="22"/>
        </w:rPr>
        <w:t>"I used Claude as a coding assistant for debugging and code review. All analysis, modeling decisions, and conclusions are my own — and I documented AI use transparently in my project repository."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