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FA60DD" w14:textId="77777777" w:rsidR="005E3163" w:rsidRDefault="005E3163" w:rsidP="00543AB4"/>
    <w:p w14:paraId="3E0B469A" w14:textId="77777777" w:rsidR="00543AB4" w:rsidRDefault="00543AB4" w:rsidP="00543AB4">
      <w:r>
        <w:t xml:space="preserve">Flow nets, flowlines, and equipotential contours, oh my! </w:t>
      </w:r>
    </w:p>
    <w:p w14:paraId="4EA2417D" w14:textId="29BDE2F4" w:rsidR="00543AB4" w:rsidRDefault="00543AB4" w:rsidP="00543AB4">
      <w:r>
        <w:t xml:space="preserve">When drawing the </w:t>
      </w:r>
      <w:proofErr w:type="spellStart"/>
      <w:r>
        <w:t>flowpaths</w:t>
      </w:r>
      <w:proofErr w:type="spellEnd"/>
      <w:r>
        <w:t xml:space="preserve"> of local or regional groundwater flow, we want to make sure our assumptions about our interpretation </w:t>
      </w:r>
      <w:r w:rsidR="00854E9A">
        <w:t>are</w:t>
      </w:r>
      <w:r>
        <w:t xml:space="preserve"> true. One way is to visualize a flow net which shows </w:t>
      </w:r>
      <w:r w:rsidR="00854E9A">
        <w:t>2D representation of 3D flow within the subsurface</w:t>
      </w:r>
      <w:r>
        <w:t xml:space="preserve">. </w:t>
      </w:r>
      <w:r w:rsidR="00854E9A">
        <w:t xml:space="preserve">To create a flow net, it is generally required to know general regional flow, the boundary conditions, and the spatial distribution of hydraulic conductivity throughout the region of focus. The simplest way to create a flow </w:t>
      </w:r>
      <w:r w:rsidR="00D675C6">
        <w:t>net is</w:t>
      </w:r>
      <w:r w:rsidR="00854E9A">
        <w:t xml:space="preserve"> by looking at a homogenous</w:t>
      </w:r>
      <w:r w:rsidR="00D675C6">
        <w:t>, isotropic</w:t>
      </w:r>
      <w:r w:rsidR="00854E9A">
        <w:t xml:space="preserve"> system</w:t>
      </w:r>
      <w:r>
        <w:t>.</w:t>
      </w:r>
    </w:p>
    <w:p w14:paraId="2330D4E7" w14:textId="77777777" w:rsidR="00FF7A37" w:rsidRDefault="00393EDF" w:rsidP="000F49B7">
      <w:pPr>
        <w:keepNext/>
        <w:jc w:val="center"/>
      </w:pPr>
      <w:r w:rsidRPr="00393EDF">
        <w:rPr>
          <w:noProof/>
        </w:rPr>
        <w:drawing>
          <wp:inline distT="0" distB="0" distL="0" distR="0" wp14:anchorId="4D19E3F7" wp14:editId="6BC29F76">
            <wp:extent cx="5539839" cy="2492927"/>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50886" cy="2497898"/>
                    </a:xfrm>
                    <a:prstGeom prst="rect">
                      <a:avLst/>
                    </a:prstGeom>
                  </pic:spPr>
                </pic:pic>
              </a:graphicData>
            </a:graphic>
          </wp:inline>
        </w:drawing>
      </w:r>
    </w:p>
    <w:p w14:paraId="20344BA1" w14:textId="460C577E" w:rsidR="00966973" w:rsidRDefault="00FF7A37" w:rsidP="000F49B7">
      <w:pPr>
        <w:pStyle w:val="Caption"/>
        <w:jc w:val="center"/>
      </w:pPr>
      <w:r>
        <w:t xml:space="preserve">Figure </w:t>
      </w:r>
      <w:r w:rsidR="0061342B">
        <w:fldChar w:fldCharType="begin"/>
      </w:r>
      <w:r w:rsidR="0061342B">
        <w:instrText xml:space="preserve"> SEQ Figure \* ARABIC </w:instrText>
      </w:r>
      <w:r w:rsidR="0061342B">
        <w:fldChar w:fldCharType="separate"/>
      </w:r>
      <w:r w:rsidR="0061342B">
        <w:rPr>
          <w:noProof/>
        </w:rPr>
        <w:t>1</w:t>
      </w:r>
      <w:r w:rsidR="0061342B">
        <w:rPr>
          <w:noProof/>
        </w:rPr>
        <w:fldChar w:fldCharType="end"/>
      </w:r>
      <w:r>
        <w:t xml:space="preserve"> </w:t>
      </w:r>
      <w:r w:rsidRPr="00BA100C">
        <w:t>Model flow net for a vertical section of the surficial aquifer in coastal Maryland. The equipotential surfaces are indicated by the dashed contour lines, while the flowlines are shown by the orthogonal blue arrows. Note that rainfall is recharged on the</w:t>
      </w:r>
      <w:r>
        <w:t xml:space="preserve"> small hills on the left, where it infiltrates downward, and then moves toward regions of lower head near the ocean. The freshwater can emerge, sometimes as springs, beneath the ocean surface. </w:t>
      </w:r>
      <w:r w:rsidR="00D87F40">
        <w:t>Image f</w:t>
      </w:r>
      <w:r>
        <w:t xml:space="preserve">rom </w:t>
      </w:r>
      <w:hyperlink r:id="rId5" w:history="1">
        <w:r w:rsidRPr="00893AC9">
          <w:rPr>
            <w:rStyle w:val="Hyperlink"/>
          </w:rPr>
          <w:t>https://www.observationalhydrology.com/groundwater-.html</w:t>
        </w:r>
      </w:hyperlink>
    </w:p>
    <w:p w14:paraId="792D7C22" w14:textId="1CC090F3" w:rsidR="00FF7A37" w:rsidRDefault="00FF7A37" w:rsidP="00FF7A37">
      <w:r>
        <w:t>We know under steady state flow and fully saturated conditions, there can be three types of boundary conditions: Type I (constant head head), Type II (no-flow/impermeable), Type III (head-</w:t>
      </w:r>
      <w:proofErr w:type="spellStart"/>
      <w:r>
        <w:t>dependetn</w:t>
      </w:r>
      <w:proofErr w:type="spellEnd"/>
      <w:r>
        <w:t xml:space="preserve"> flux). Additionally</w:t>
      </w:r>
      <w:r w:rsidR="00CD1628">
        <w:t>,</w:t>
      </w:r>
      <w:r>
        <w:t xml:space="preserve"> we know that flow is parallel to impermeable boundaries and perpendicular to equipotential lines.</w:t>
      </w:r>
      <w:r w:rsidR="00CD1628">
        <w:t xml:space="preserve"> </w:t>
      </w:r>
      <w:r>
        <w:t>Flowlines cannot intersect other flow lines</w:t>
      </w:r>
      <w:r w:rsidR="00CD1628">
        <w:t xml:space="preserve"> otherwise packets of flow somehow have two velocities at a single point</w:t>
      </w:r>
      <w:r>
        <w:t xml:space="preserve">. </w:t>
      </w:r>
      <w:r w:rsidR="00BE0700">
        <w:t>Equipotential lines</w:t>
      </w:r>
      <w:r>
        <w:t xml:space="preserve"> cannot intersect either because then flow would have more than one energy at a time, which makes no sense.</w:t>
      </w:r>
      <w:r w:rsidR="00BE0700">
        <w:t xml:space="preserve"> </w:t>
      </w:r>
    </w:p>
    <w:p w14:paraId="5A8D6FAD" w14:textId="5DAB0061" w:rsidR="00FF7A37" w:rsidRDefault="00FF7A37" w:rsidP="00FF7A37">
      <w:r>
        <w:t>Using Darcy’s equation: Q = -KA dh/dx for a completely homogenous model, we can assume that the hydraulic conductivity is constant</w:t>
      </w:r>
      <w:r w:rsidR="00BE0700">
        <w:t xml:space="preserve"> throughout</w:t>
      </w:r>
      <w:r>
        <w:t xml:space="preserve"> and looking at figure 1 above, we also know that a lake is a constant head boundary. With this we can assume that the gradient </w:t>
      </w:r>
      <w:proofErr w:type="spellStart"/>
      <w:r>
        <w:t>dH</w:t>
      </w:r>
      <w:proofErr w:type="spellEnd"/>
      <w:r>
        <w:t xml:space="preserve">/dx is constant and parallel to the lake while perpendicular to the aquitard at the bottom. The means we get a specific Q for a specific A – or </w:t>
      </w:r>
      <w:r w:rsidR="00BE0700">
        <w:t>through</w:t>
      </w:r>
      <w:r>
        <w:t xml:space="preserve"> </w:t>
      </w:r>
      <w:r w:rsidR="00BE0700">
        <w:t>a</w:t>
      </w:r>
      <w:r>
        <w:t xml:space="preserve"> ‘</w:t>
      </w:r>
      <w:proofErr w:type="spellStart"/>
      <w:r>
        <w:t>flowtube</w:t>
      </w:r>
      <w:proofErr w:type="spellEnd"/>
      <w:r>
        <w:t>’</w:t>
      </w:r>
      <w:r w:rsidR="00BE0700">
        <w:t xml:space="preserve"> which is the spacing between each flowline</w:t>
      </w:r>
      <w:r>
        <w:t>. In figure 1 we can see these flow lines almost equally spaced. This suggests</w:t>
      </w:r>
      <w:r w:rsidR="00AE60A8">
        <w:t xml:space="preserve"> Q must be the same</w:t>
      </w:r>
      <w:r>
        <w:t xml:space="preserve">. To show that these are equal volumes of flow, </w:t>
      </w:r>
      <w:proofErr w:type="spellStart"/>
      <w:proofErr w:type="gramStart"/>
      <w:r>
        <w:t>lets</w:t>
      </w:r>
      <w:proofErr w:type="spellEnd"/>
      <w:proofErr w:type="gramEnd"/>
      <w:r>
        <w:t xml:space="preserve"> say </w:t>
      </w:r>
      <w:proofErr w:type="spellStart"/>
      <w:r w:rsidR="00D87F40">
        <w:t>dH</w:t>
      </w:r>
      <w:proofErr w:type="spellEnd"/>
      <w:r w:rsidR="00D87F40">
        <w:t>/dx</w:t>
      </w:r>
      <w:r>
        <w:t xml:space="preserve"> = ____</w:t>
      </w:r>
      <w:r w:rsidR="00D87F40">
        <w:t xml:space="preserve">__, </w:t>
      </w:r>
      <w:r>
        <w:t>K = ___</w:t>
      </w:r>
      <w:r w:rsidR="00D87F40">
        <w:t>___</w:t>
      </w:r>
      <w:r>
        <w:t xml:space="preserve">_, and </w:t>
      </w:r>
      <w:r w:rsidR="00D87F40">
        <w:t>A</w:t>
      </w:r>
      <w:r>
        <w:t xml:space="preserve"> = __</w:t>
      </w:r>
      <w:r w:rsidR="00D87F40">
        <w:t>__</w:t>
      </w:r>
      <w:r>
        <w:t>__.</w:t>
      </w:r>
      <w:r w:rsidR="00604024">
        <w:t xml:space="preserve"> Then Q should be equal in each curv</w:t>
      </w:r>
      <w:r w:rsidR="00D87F40">
        <w:t>ilinear</w:t>
      </w:r>
      <w:r w:rsidR="00604024">
        <w:t xml:space="preserve"> square. </w:t>
      </w:r>
    </w:p>
    <w:p w14:paraId="1A56EA11" w14:textId="3915986E" w:rsidR="00604024" w:rsidRDefault="00FF7A37" w:rsidP="00FF7A37">
      <w:r>
        <w:lastRenderedPageBreak/>
        <w:t>Now compare figure 1 to the figure 2 below.</w:t>
      </w:r>
      <w:r w:rsidR="00604024">
        <w:t xml:space="preserve"> Symmetry is </w:t>
      </w:r>
      <w:r w:rsidR="00AE60A8">
        <w:t>highly desirable when constructing</w:t>
      </w:r>
      <w:r w:rsidR="00604024">
        <w:t xml:space="preserve"> flow nets. If we can apply flow on one side, then </w:t>
      </w:r>
      <w:r w:rsidR="00BE40AE">
        <w:t>we can apply it on the other side the imaginary symmetrical line. Figure 2 below is a perfect example illustrating symmetrical flow lines.</w:t>
      </w:r>
    </w:p>
    <w:p w14:paraId="474EFA31" w14:textId="77777777" w:rsidR="00BE40AE" w:rsidRDefault="00393EDF" w:rsidP="00BE40AE">
      <w:pPr>
        <w:keepNext/>
        <w:jc w:val="center"/>
      </w:pPr>
      <w:r w:rsidRPr="00393EDF">
        <w:rPr>
          <w:noProof/>
        </w:rPr>
        <w:drawing>
          <wp:inline distT="0" distB="0" distL="0" distR="0" wp14:anchorId="2735D9C7" wp14:editId="7CCCF426">
            <wp:extent cx="3616036" cy="141241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1125" cy="1418312"/>
                    </a:xfrm>
                    <a:prstGeom prst="rect">
                      <a:avLst/>
                    </a:prstGeom>
                  </pic:spPr>
                </pic:pic>
              </a:graphicData>
            </a:graphic>
          </wp:inline>
        </w:drawing>
      </w:r>
    </w:p>
    <w:p w14:paraId="440DAD8B" w14:textId="4E5FB773" w:rsidR="00393EDF" w:rsidRDefault="00BE40AE" w:rsidP="00BE40AE">
      <w:pPr>
        <w:pStyle w:val="Caption"/>
        <w:jc w:val="center"/>
      </w:pPr>
      <w:r>
        <w:t xml:space="preserve">Figure </w:t>
      </w:r>
      <w:fldSimple w:instr=" SEQ Figure \* ARABIC ">
        <w:r w:rsidR="0061342B">
          <w:rPr>
            <w:noProof/>
          </w:rPr>
          <w:t>2</w:t>
        </w:r>
      </w:fldSimple>
      <w:r>
        <w:t xml:space="preserve"> </w:t>
      </w:r>
      <w:r w:rsidRPr="00C52611">
        <w:t>Flow net beneath a hill bordered by two streams, and how flowlines (arrows) and equipotential contours (dashed lines). Vertical piezometers, open only at the top and bottom, have water levels indicated by black bars; note that the water rises to the el</w:t>
      </w:r>
      <w:r w:rsidRPr="00BE40AE">
        <w:t xml:space="preserve"> </w:t>
      </w:r>
      <w:r w:rsidRPr="00BE40AE">
        <w:t>elevation where the head contour at the piezometer base intersects the water table. Fetter, after Hubbert (1940).</w:t>
      </w:r>
    </w:p>
    <w:p w14:paraId="44DB67FF" w14:textId="34E3B009" w:rsidR="00032507" w:rsidRDefault="001069AD">
      <w:r>
        <w:t xml:space="preserve">When looking to apply a flow net to a more complex systems such as heterogeneous </w:t>
      </w:r>
      <w:r w:rsidR="00AE60A8">
        <w:t>anisotropic</w:t>
      </w:r>
      <w:r w:rsidR="00CA5897">
        <w:t xml:space="preserve"> mediums</w:t>
      </w:r>
      <w:r>
        <w:t xml:space="preserve">, </w:t>
      </w:r>
      <w:r w:rsidR="00CA5897">
        <w:t xml:space="preserve">we need to consider the varying hydraulic </w:t>
      </w:r>
      <w:r w:rsidR="00AE60A8">
        <w:t>conductivities</w:t>
      </w:r>
      <w:r w:rsidR="00CA5897">
        <w:t xml:space="preserve"> between any two formations. </w:t>
      </w:r>
      <w:r w:rsidR="00880363">
        <w:t xml:space="preserve">Within a system, flow prefers the higher K </w:t>
      </w:r>
      <w:r w:rsidR="000B7472">
        <w:t xml:space="preserve">area </w:t>
      </w:r>
      <w:r w:rsidR="00880363">
        <w:t>than the lower K</w:t>
      </w:r>
      <w:r w:rsidR="000B7472">
        <w:t xml:space="preserve"> resulting in faster flux through the higher K</w:t>
      </w:r>
      <w:r w:rsidR="00880363">
        <w:t xml:space="preserve">. Flow through varying K’s behaves </w:t>
      </w:r>
      <w:r w:rsidR="00AE60A8">
        <w:t>similarly</w:t>
      </w:r>
      <w:r w:rsidR="00880363">
        <w:t xml:space="preserve"> to light refracting as it travels from one medium to another. Under the same steady-state conditions, we know </w:t>
      </w:r>
      <w:proofErr w:type="spellStart"/>
      <w:r w:rsidR="00880363">
        <w:t>Q_in</w:t>
      </w:r>
      <w:proofErr w:type="spellEnd"/>
      <w:r w:rsidR="00880363">
        <w:t xml:space="preserve"> must equal to </w:t>
      </w:r>
      <w:proofErr w:type="spellStart"/>
      <w:r w:rsidR="00880363">
        <w:t>Q_out</w:t>
      </w:r>
      <w:proofErr w:type="spellEnd"/>
      <w:r w:rsidR="002B11F0">
        <w:t xml:space="preserve">, so using Darcy’s Law we </w:t>
      </w:r>
      <w:r w:rsidR="00AE60A8">
        <w:t>can find</w:t>
      </w:r>
      <w:r w:rsidR="002B11F0">
        <w:t>:</w:t>
      </w:r>
    </w:p>
    <w:p w14:paraId="12B03AFA" w14:textId="256B93FF" w:rsidR="00CA5897" w:rsidRDefault="00D87F40">
      <w:pPr>
        <w:rPr>
          <w:noProof/>
        </w:rPr>
      </w:pPr>
      <w:r>
        <w:rPr>
          <w:noProof/>
        </w:rPr>
        <mc:AlternateContent>
          <mc:Choice Requires="wps">
            <w:drawing>
              <wp:anchor distT="0" distB="0" distL="114300" distR="114300" simplePos="0" relativeHeight="251660288" behindDoc="0" locked="0" layoutInCell="1" allowOverlap="1" wp14:anchorId="2B1954A3" wp14:editId="4E5C6FBA">
                <wp:simplePos x="0" y="0"/>
                <wp:positionH relativeFrom="column">
                  <wp:posOffset>3110372</wp:posOffset>
                </wp:positionH>
                <wp:positionV relativeFrom="paragraph">
                  <wp:posOffset>153633</wp:posOffset>
                </wp:positionV>
                <wp:extent cx="132411" cy="106680"/>
                <wp:effectExtent l="0" t="19050" r="39370" b="45720"/>
                <wp:wrapNone/>
                <wp:docPr id="10" name="Arrow: Right 10"/>
                <wp:cNvGraphicFramePr/>
                <a:graphic xmlns:a="http://schemas.openxmlformats.org/drawingml/2006/main">
                  <a:graphicData uri="http://schemas.microsoft.com/office/word/2010/wordprocessingShape">
                    <wps:wsp>
                      <wps:cNvSpPr/>
                      <wps:spPr>
                        <a:xfrm>
                          <a:off x="0" y="0"/>
                          <a:ext cx="132411"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98D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44.9pt;margin-top:12.1pt;width:10.45pt;height: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" adj="12899"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50EE8BBF" wp14:editId="056AAFE2">
                <wp:simplePos x="0" y="0"/>
                <wp:positionH relativeFrom="column">
                  <wp:posOffset>1504150</wp:posOffset>
                </wp:positionH>
                <wp:positionV relativeFrom="paragraph">
                  <wp:posOffset>152400</wp:posOffset>
                </wp:positionV>
                <wp:extent cx="136566" cy="106878"/>
                <wp:effectExtent l="0" t="19050" r="34925" b="45720"/>
                <wp:wrapNone/>
                <wp:docPr id="8" name="Arrow: Right 8"/>
                <wp:cNvGraphicFramePr/>
                <a:graphic xmlns:a="http://schemas.openxmlformats.org/drawingml/2006/main">
                  <a:graphicData uri="http://schemas.microsoft.com/office/word/2010/wordprocessingShape">
                    <wps:wsp>
                      <wps:cNvSpPr/>
                      <wps:spPr>
                        <a:xfrm>
                          <a:off x="0" y="0"/>
                          <a:ext cx="136566" cy="10687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2DC207" id="Arrow: Right 8" o:spid="_x0000_s1026" type="#_x0000_t13" style="position:absolute;margin-left:118.45pt;margin-top:12pt;width:10.75pt;height: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" adj="13148" fillcolor="#4472c4 [3204]" strokecolor="#1f3763 [1604]" strokeweight="1pt"/>
            </w:pict>
          </mc:Fallback>
        </mc:AlternateContent>
      </w:r>
      <w:r w:rsidR="002B11F0">
        <w:rPr>
          <w:noProof/>
        </w:rPr>
        <w:drawing>
          <wp:inline distT="0" distB="0" distL="0" distR="0" wp14:anchorId="5D35A3F1" wp14:editId="4171499F">
            <wp:extent cx="1438910" cy="40830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910" cy="408305"/>
                    </a:xfrm>
                    <a:prstGeom prst="rect">
                      <a:avLst/>
                    </a:prstGeom>
                    <a:noFill/>
                  </pic:spPr>
                </pic:pic>
              </a:graphicData>
            </a:graphic>
          </wp:inline>
        </w:drawing>
      </w:r>
      <w:r>
        <w:t xml:space="preserve">       </w:t>
      </w:r>
      <w:r w:rsidR="002B11F0">
        <w:t xml:space="preserve"> </w:t>
      </w:r>
      <w:r w:rsidR="002B11F0">
        <w:rPr>
          <w:noProof/>
        </w:rPr>
        <w:drawing>
          <wp:inline distT="0" distB="0" distL="0" distR="0" wp14:anchorId="2785FB47" wp14:editId="7F72532A">
            <wp:extent cx="1436914" cy="3668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406" t="11117" r="4946" b="12414"/>
                    <a:stretch/>
                  </pic:blipFill>
                  <pic:spPr bwMode="auto">
                    <a:xfrm>
                      <a:off x="0" y="0"/>
                      <a:ext cx="1441498" cy="368063"/>
                    </a:xfrm>
                    <a:prstGeom prst="rect">
                      <a:avLst/>
                    </a:prstGeom>
                    <a:noFill/>
                    <a:ln>
                      <a:noFill/>
                    </a:ln>
                    <a:extLst>
                      <a:ext uri="{53640926-AAD7-44D8-BBD7-CCE9431645EC}">
                        <a14:shadowObscured xmlns:a14="http://schemas.microsoft.com/office/drawing/2010/main"/>
                      </a:ext>
                    </a:extLst>
                  </pic:spPr>
                </pic:pic>
              </a:graphicData>
            </a:graphic>
          </wp:inline>
        </w:drawing>
      </w:r>
      <w:r w:rsidR="002B11F0">
        <w:t xml:space="preserve"> </w:t>
      </w:r>
      <w:r>
        <w:t xml:space="preserve">    </w:t>
      </w:r>
      <w:r w:rsidR="002B11F0">
        <w:rPr>
          <w:noProof/>
        </w:rPr>
        <w:drawing>
          <wp:inline distT="0" distB="0" distL="0" distR="0" wp14:anchorId="58AED340" wp14:editId="3A9FDBB0">
            <wp:extent cx="993547" cy="35616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7493" b="17605"/>
                    <a:stretch/>
                  </pic:blipFill>
                  <pic:spPr bwMode="auto">
                    <a:xfrm>
                      <a:off x="0" y="0"/>
                      <a:ext cx="993775" cy="356251"/>
                    </a:xfrm>
                    <a:prstGeom prst="rect">
                      <a:avLst/>
                    </a:prstGeom>
                    <a:noFill/>
                    <a:ln>
                      <a:noFill/>
                    </a:ln>
                    <a:extLst>
                      <a:ext uri="{53640926-AAD7-44D8-BBD7-CCE9431645EC}">
                        <a14:shadowObscured xmlns:a14="http://schemas.microsoft.com/office/drawing/2010/main"/>
                      </a:ext>
                    </a:extLst>
                  </pic:spPr>
                </pic:pic>
              </a:graphicData>
            </a:graphic>
          </wp:inline>
        </w:drawing>
      </w:r>
    </w:p>
    <w:p w14:paraId="0ABACEEE" w14:textId="69C646DF" w:rsidR="002B11F0" w:rsidRDefault="002B11F0" w:rsidP="00CA5897">
      <w:r>
        <w:t xml:space="preserve">More complex </w:t>
      </w:r>
      <w:r w:rsidR="00AE60A8">
        <w:t xml:space="preserve">heterogenous </w:t>
      </w:r>
      <w:r>
        <w:t xml:space="preserve">systems uses the “tangent law” as seen in the </w:t>
      </w:r>
      <w:r w:rsidR="00AE60A8">
        <w:t>e</w:t>
      </w:r>
      <w:r>
        <w:t xml:space="preserve">quations above. </w:t>
      </w:r>
      <w:r w:rsidRPr="002B11F0">
        <w:t>Knowing K1, K2, and θ1, one can solve for θ2</w:t>
      </w:r>
      <w:r w:rsidR="00AE60A8">
        <w:t xml:space="preserve"> – the angle change of the flow</w:t>
      </w:r>
      <w:r w:rsidR="00D87F40">
        <w:t xml:space="preserve"> path</w:t>
      </w:r>
      <w:r w:rsidR="00AE60A8">
        <w:t xml:space="preserve"> </w:t>
      </w:r>
      <w:r w:rsidR="00D87F40">
        <w:t>between</w:t>
      </w:r>
      <w:r w:rsidR="00AE60A8">
        <w:t xml:space="preserve"> geologic boundar</w:t>
      </w:r>
      <w:r w:rsidR="00D87F40">
        <w:t>ies</w:t>
      </w:r>
      <w:r w:rsidR="00AE60A8">
        <w:t xml:space="preserve">. For the case that we don’t know K1 or K2, but we know their ratio, then the system is in a reduced parameter space which simplifies how we can construct the behavior of the flow net. Below are additional examples of complex </w:t>
      </w:r>
      <w:proofErr w:type="spellStart"/>
      <w:r w:rsidR="00AE60A8">
        <w:t>flownets</w:t>
      </w:r>
      <w:proofErr w:type="spellEnd"/>
      <w:r w:rsidR="00D87F40">
        <w:t>.</w:t>
      </w:r>
    </w:p>
    <w:p w14:paraId="74B4C789" w14:textId="77777777" w:rsidR="00D87F40" w:rsidRDefault="000B7472" w:rsidP="00D87F40">
      <w:pPr>
        <w:keepNext/>
        <w:jc w:val="center"/>
      </w:pPr>
      <w:r>
        <w:rPr>
          <w:noProof/>
        </w:rPr>
        <w:drawing>
          <wp:inline distT="0" distB="0" distL="0" distR="0" wp14:anchorId="3B7641DA" wp14:editId="00ED771E">
            <wp:extent cx="3978322" cy="225599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3537" cy="2270295"/>
                    </a:xfrm>
                    <a:prstGeom prst="rect">
                      <a:avLst/>
                    </a:prstGeom>
                    <a:noFill/>
                  </pic:spPr>
                </pic:pic>
              </a:graphicData>
            </a:graphic>
          </wp:inline>
        </w:drawing>
      </w:r>
    </w:p>
    <w:p w14:paraId="1A047A18" w14:textId="2573196F" w:rsidR="00D1278A" w:rsidRDefault="00D87F40" w:rsidP="00D87F40">
      <w:pPr>
        <w:pStyle w:val="Caption"/>
        <w:jc w:val="center"/>
      </w:pPr>
      <w:r>
        <w:t xml:space="preserve">Figure </w:t>
      </w:r>
      <w:fldSimple w:instr=" SEQ Figure \* ARABIC ">
        <w:r w:rsidR="0061342B">
          <w:rPr>
            <w:noProof/>
          </w:rPr>
          <w:t>3</w:t>
        </w:r>
      </w:fldSimple>
      <w:r>
        <w:t xml:space="preserve"> </w:t>
      </w:r>
      <w:proofErr w:type="spellStart"/>
      <w:r>
        <w:t>Flownet</w:t>
      </w:r>
      <w:proofErr w:type="spellEnd"/>
    </w:p>
    <w:p w14:paraId="390203AF" w14:textId="77777777" w:rsidR="00E15BB1" w:rsidRDefault="00E15BB1"/>
    <w:p w14:paraId="506AF599" w14:textId="77777777" w:rsidR="00D87F40" w:rsidRDefault="000B7472" w:rsidP="00D87F40">
      <w:pPr>
        <w:keepNext/>
        <w:jc w:val="center"/>
      </w:pPr>
      <w:r>
        <w:rPr>
          <w:noProof/>
        </w:rPr>
        <w:drawing>
          <wp:inline distT="0" distB="0" distL="0" distR="0" wp14:anchorId="25C65B53" wp14:editId="76FBC8F5">
            <wp:extent cx="4913194" cy="329711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5837" cy="3305600"/>
                    </a:xfrm>
                    <a:prstGeom prst="rect">
                      <a:avLst/>
                    </a:prstGeom>
                    <a:noFill/>
                  </pic:spPr>
                </pic:pic>
              </a:graphicData>
            </a:graphic>
          </wp:inline>
        </w:drawing>
      </w:r>
    </w:p>
    <w:p w14:paraId="5D3515F4" w14:textId="2EEC994B" w:rsidR="00E15BB1" w:rsidRDefault="00D87F40" w:rsidP="00D87F40">
      <w:pPr>
        <w:pStyle w:val="Caption"/>
        <w:jc w:val="center"/>
      </w:pPr>
      <w:r>
        <w:t xml:space="preserve">Figure </w:t>
      </w:r>
      <w:fldSimple w:instr=" SEQ Figure \* ARABIC ">
        <w:r w:rsidR="0061342B">
          <w:rPr>
            <w:noProof/>
          </w:rPr>
          <w:t>4</w:t>
        </w:r>
      </w:fldSimple>
      <w:r>
        <w:t xml:space="preserve"> </w:t>
      </w:r>
      <w:hyperlink r:id="rId12" w:history="1">
        <w:r w:rsidRPr="006F1FF1">
          <w:rPr>
            <w:rStyle w:val="Hyperlink"/>
          </w:rPr>
          <w:t>https://regionalgwflow.iah.org/regional-groundwater-flow</w:t>
        </w:r>
      </w:hyperlink>
      <w:r>
        <w:t xml:space="preserve"> </w:t>
      </w:r>
    </w:p>
    <w:sectPr w:rsidR="00E15B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DF"/>
    <w:rsid w:val="00032507"/>
    <w:rsid w:val="000A1B44"/>
    <w:rsid w:val="000B7472"/>
    <w:rsid w:val="000F49B7"/>
    <w:rsid w:val="001069AD"/>
    <w:rsid w:val="002B11F0"/>
    <w:rsid w:val="00393EDF"/>
    <w:rsid w:val="00400A63"/>
    <w:rsid w:val="00512621"/>
    <w:rsid w:val="00543AB4"/>
    <w:rsid w:val="005E3163"/>
    <w:rsid w:val="00604024"/>
    <w:rsid w:val="0061342B"/>
    <w:rsid w:val="00854E9A"/>
    <w:rsid w:val="00880363"/>
    <w:rsid w:val="00966973"/>
    <w:rsid w:val="00990A4C"/>
    <w:rsid w:val="00AE60A8"/>
    <w:rsid w:val="00BE0700"/>
    <w:rsid w:val="00BE40AE"/>
    <w:rsid w:val="00CA5897"/>
    <w:rsid w:val="00CD1628"/>
    <w:rsid w:val="00D1278A"/>
    <w:rsid w:val="00D675C6"/>
    <w:rsid w:val="00D87F40"/>
    <w:rsid w:val="00E15BB1"/>
    <w:rsid w:val="00FF7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818E1FD"/>
  <w15:chartTrackingRefBased/>
  <w15:docId w15:val="{F51E0255-F96B-426F-B5E3-2733D2FD3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3ED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32507"/>
    <w:pPr>
      <w:ind w:left="720"/>
      <w:contextualSpacing/>
    </w:pPr>
  </w:style>
  <w:style w:type="paragraph" w:styleId="Caption">
    <w:name w:val="caption"/>
    <w:basedOn w:val="Normal"/>
    <w:next w:val="Normal"/>
    <w:uiPriority w:val="35"/>
    <w:unhideWhenUsed/>
    <w:qFormat/>
    <w:rsid w:val="00FF7A37"/>
    <w:pPr>
      <w:spacing w:after="200" w:line="240" w:lineRule="auto"/>
    </w:pPr>
    <w:rPr>
      <w:i/>
      <w:iCs/>
      <w:color w:val="44546A" w:themeColor="text2"/>
      <w:sz w:val="18"/>
      <w:szCs w:val="18"/>
    </w:rPr>
  </w:style>
  <w:style w:type="character" w:styleId="Hyperlink">
    <w:name w:val="Hyperlink"/>
    <w:basedOn w:val="DefaultParagraphFont"/>
    <w:uiPriority w:val="99"/>
    <w:unhideWhenUsed/>
    <w:rsid w:val="00FF7A37"/>
    <w:rPr>
      <w:color w:val="0563C1" w:themeColor="hyperlink"/>
      <w:u w:val="single"/>
    </w:rPr>
  </w:style>
  <w:style w:type="character" w:styleId="UnresolvedMention">
    <w:name w:val="Unresolved Mention"/>
    <w:basedOn w:val="DefaultParagraphFont"/>
    <w:uiPriority w:val="99"/>
    <w:semiHidden/>
    <w:unhideWhenUsed/>
    <w:rsid w:val="00FF7A37"/>
    <w:rPr>
      <w:color w:val="605E5C"/>
      <w:shd w:val="clear" w:color="auto" w:fill="E1DFDD"/>
    </w:rPr>
  </w:style>
  <w:style w:type="character" w:styleId="PlaceholderText">
    <w:name w:val="Placeholder Text"/>
    <w:basedOn w:val="DefaultParagraphFont"/>
    <w:uiPriority w:val="99"/>
    <w:semiHidden/>
    <w:rsid w:val="00D87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187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regionalgwflow.iah.org/regional-groundwater-flow"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observationalhydrology.com/groundwater-.html"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3</Pages>
  <Words>648</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Dalia Portillo</dc:creator>
  <cp:keywords/>
  <dc:description/>
  <cp:lastModifiedBy>Dalia Portillo</cp:lastModifiedBy>
  <cp:revision>5</cp:revision>
  <cp:lastPrinted>2021-03-01T01:23:00Z</cp:lastPrinted>
  <dcterms:created xsi:type="dcterms:W3CDTF">2021-02-27T06:43:00Z</dcterms:created>
  <dcterms:modified xsi:type="dcterms:W3CDTF">2021-03-01T01:23:00Z</dcterms:modified>
</cp:coreProperties>
</file>