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5A4627C3" w:rsidR="003B5BE3" w:rsidRDefault="003B5BE3" w:rsidP="003B5BE3">
      <w:pPr>
        <w:spacing w:line="276" w:lineRule="auto"/>
      </w:pPr>
      <w:r>
        <w:t xml:space="preserve">February </w:t>
      </w:r>
      <w:r w:rsidR="00C33355">
        <w:t>1</w:t>
      </w:r>
      <w:r w:rsidR="00563D06">
        <w:t>6</w:t>
      </w:r>
      <w:r>
        <w:t>, 2021</w:t>
      </w:r>
    </w:p>
    <w:p w14:paraId="60276917" w14:textId="61A7B0BC" w:rsidR="003B5BE3" w:rsidRDefault="003B5BE3" w:rsidP="003B5BE3">
      <w:pPr>
        <w:spacing w:line="276" w:lineRule="auto"/>
        <w:jc w:val="center"/>
      </w:pPr>
      <w:r>
        <w:t xml:space="preserve">Assignment </w:t>
      </w:r>
      <w:r w:rsidR="00563D06">
        <w:t>5</w:t>
      </w:r>
    </w:p>
    <w:p w14:paraId="79340A83" w14:textId="004467D5" w:rsidR="00563D06" w:rsidRPr="0041515E" w:rsidRDefault="0041515E" w:rsidP="0041515E">
      <w:pPr>
        <w:spacing w:line="276" w:lineRule="auto"/>
        <w:jc w:val="center"/>
        <w:rPr>
          <w:b/>
          <w:bCs/>
        </w:rPr>
      </w:pPr>
      <w:r w:rsidRPr="0041515E">
        <w:rPr>
          <w:b/>
          <w:bCs/>
        </w:rPr>
        <w:t>Head vs x</w:t>
      </w:r>
    </w:p>
    <w:p w14:paraId="5B4FFCF7" w14:textId="2006C2CA" w:rsidR="0041515E" w:rsidRDefault="0041515E" w:rsidP="0041515E">
      <w:pPr>
        <w:spacing w:line="276" w:lineRule="auto"/>
        <w:jc w:val="center"/>
      </w:pPr>
      <w:r>
        <w:rPr>
          <w:noProof/>
        </w:rPr>
        <w:drawing>
          <wp:inline distT="0" distB="0" distL="0" distR="0" wp14:anchorId="52422F08" wp14:editId="29D86C1E">
            <wp:extent cx="389426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859" cy="2917606"/>
                    </a:xfrm>
                    <a:prstGeom prst="rect">
                      <a:avLst/>
                    </a:prstGeom>
                    <a:noFill/>
                    <a:ln>
                      <a:noFill/>
                    </a:ln>
                  </pic:spPr>
                </pic:pic>
              </a:graphicData>
            </a:graphic>
          </wp:inline>
        </w:drawing>
      </w:r>
    </w:p>
    <w:p w14:paraId="1815BB79" w14:textId="77777777" w:rsidR="00EE2FFB" w:rsidRDefault="0041515E" w:rsidP="0041515E">
      <w:pPr>
        <w:spacing w:line="276" w:lineRule="auto"/>
        <w:jc w:val="center"/>
      </w:pPr>
      <w:r>
        <w:t>Figure 1: head in homogenous medium with no recharge or pumping</w:t>
      </w:r>
    </w:p>
    <w:p w14:paraId="3E6B89B6" w14:textId="31AD22AF" w:rsidR="0041515E" w:rsidRDefault="00EE2FFB" w:rsidP="0041515E">
      <w:pPr>
        <w:spacing w:line="276" w:lineRule="auto"/>
        <w:jc w:val="center"/>
      </w:pPr>
      <w:r>
        <w:rPr>
          <w:noProof/>
        </w:rPr>
        <w:drawing>
          <wp:inline distT="0" distB="0" distL="0" distR="0" wp14:anchorId="6E89092E" wp14:editId="5A186AB7">
            <wp:extent cx="3940175" cy="287191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028" cy="2921371"/>
                    </a:xfrm>
                    <a:prstGeom prst="rect">
                      <a:avLst/>
                    </a:prstGeom>
                    <a:noFill/>
                    <a:ln>
                      <a:noFill/>
                    </a:ln>
                  </pic:spPr>
                </pic:pic>
              </a:graphicData>
            </a:graphic>
          </wp:inline>
        </w:drawing>
      </w:r>
    </w:p>
    <w:p w14:paraId="23CFFC50" w14:textId="551E93F6" w:rsidR="00EE2FFB" w:rsidRDefault="00EE2FFB" w:rsidP="0041515E">
      <w:pPr>
        <w:spacing w:line="276" w:lineRule="auto"/>
        <w:jc w:val="center"/>
      </w:pPr>
      <w:r>
        <w:t>Figure 2: reduced head, no recharge or pumping</w:t>
      </w:r>
    </w:p>
    <w:p w14:paraId="6C65F6D0" w14:textId="5213EBB4" w:rsidR="003A2278" w:rsidRDefault="003A2278" w:rsidP="00791E75">
      <w:pPr>
        <w:spacing w:line="276" w:lineRule="auto"/>
      </w:pPr>
      <w:r>
        <w:lastRenderedPageBreak/>
        <w:t>Describe the gradual drop in head as it crosses the confining layer at 10 meters.</w:t>
      </w:r>
    </w:p>
    <w:p w14:paraId="61463B12" w14:textId="0276DE06" w:rsidR="003A2278" w:rsidRDefault="003A2278" w:rsidP="003A2278">
      <w:pPr>
        <w:spacing w:line="276" w:lineRule="auto"/>
        <w:ind w:left="720"/>
      </w:pPr>
      <w:r>
        <w:t>As the head falls below the confining layer, transmissivity decreases with the head approaching 5 meters. As it decreases, there becomes greater resistance to flow and requires more energy to be expended in a greater loss in head. This means that the slope of the head distribution will be more negative at lower heads.</w:t>
      </w:r>
    </w:p>
    <w:p w14:paraId="111F2627" w14:textId="70717826" w:rsidR="00EE2FFB" w:rsidRDefault="00791E75" w:rsidP="0041515E">
      <w:pPr>
        <w:spacing w:line="276" w:lineRule="auto"/>
        <w:jc w:val="center"/>
      </w:pPr>
      <w:r>
        <w:rPr>
          <w:noProof/>
        </w:rPr>
        <w:drawing>
          <wp:inline distT="0" distB="0" distL="0" distR="0" wp14:anchorId="4C1B418A" wp14:editId="4CAE2F29">
            <wp:extent cx="5029200" cy="3533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641849EB" w14:textId="5451DAEA" w:rsidR="00791E75" w:rsidRDefault="00791E75" w:rsidP="0041515E">
      <w:pPr>
        <w:spacing w:line="276" w:lineRule="auto"/>
        <w:jc w:val="center"/>
      </w:pPr>
      <w:r>
        <w:t>Figure 3: left and right flow of Head: 20-10</w:t>
      </w:r>
    </w:p>
    <w:p w14:paraId="1442A45A" w14:textId="06CC1229" w:rsidR="00EE2FFB" w:rsidRDefault="00791E75" w:rsidP="0041515E">
      <w:pPr>
        <w:spacing w:line="276" w:lineRule="auto"/>
        <w:jc w:val="center"/>
      </w:pPr>
      <w:r>
        <w:rPr>
          <w:noProof/>
        </w:rPr>
        <w:lastRenderedPageBreak/>
        <w:drawing>
          <wp:inline distT="0" distB="0" distL="0" distR="0" wp14:anchorId="4021A662" wp14:editId="1D9ECED5">
            <wp:extent cx="5029200" cy="3533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2B81BCEF" w14:textId="489376BB" w:rsidR="00791E75" w:rsidRDefault="00791E75" w:rsidP="00791E75">
      <w:pPr>
        <w:spacing w:line="276" w:lineRule="auto"/>
        <w:jc w:val="center"/>
      </w:pPr>
      <w:r>
        <w:t>Figure 4: left and right flow of Head: 15-5</w:t>
      </w:r>
    </w:p>
    <w:p w14:paraId="73FD9FAD" w14:textId="2D762795" w:rsidR="00176459" w:rsidRDefault="003A2278" w:rsidP="00791E75">
      <w:pPr>
        <w:spacing w:line="276" w:lineRule="auto"/>
      </w:pPr>
      <w:r>
        <w:t xml:space="preserve">Describe </w:t>
      </w:r>
      <w:r w:rsidR="00176459">
        <w:t>the impact on flow when the head gradient crosses the confining layer.</w:t>
      </w:r>
    </w:p>
    <w:p w14:paraId="28D9597F" w14:textId="497E007E" w:rsidR="00176459" w:rsidRDefault="007A0B30" w:rsidP="007A0B30">
      <w:pPr>
        <w:spacing w:line="276" w:lineRule="auto"/>
        <w:ind w:left="720"/>
      </w:pPr>
      <w:r>
        <w:t xml:space="preserve">Now that flow takes place with less transmissivity below the confining layer, more of the energy that drives flow is diverted towards overcoming the resistance produced by the head that falls below the confining layer. </w:t>
      </w:r>
    </w:p>
    <w:p w14:paraId="0D6F1BDA" w14:textId="65016E5A" w:rsidR="00791E75" w:rsidRDefault="00DF3633" w:rsidP="00DF3633">
      <w:pPr>
        <w:spacing w:line="276" w:lineRule="auto"/>
        <w:jc w:val="center"/>
      </w:pPr>
      <w:r>
        <w:rPr>
          <w:noProof/>
        </w:rPr>
        <w:lastRenderedPageBreak/>
        <w:drawing>
          <wp:inline distT="0" distB="0" distL="0" distR="0" wp14:anchorId="4E9AB3AB" wp14:editId="46B498E2">
            <wp:extent cx="4848225" cy="35337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02F35082" w14:textId="445E2AF5" w:rsidR="00DF3633" w:rsidRDefault="00DF3633" w:rsidP="00DF3633">
      <w:pPr>
        <w:spacing w:line="276" w:lineRule="auto"/>
        <w:jc w:val="center"/>
      </w:pPr>
      <w:r>
        <w:t xml:space="preserve">Figure </w:t>
      </w:r>
      <w:r w:rsidR="00930A8F">
        <w:t>5</w:t>
      </w:r>
      <w:r>
        <w:t xml:space="preserve">: </w:t>
      </w:r>
      <w:r w:rsidR="00930A8F">
        <w:t>with</w:t>
      </w:r>
      <w:r>
        <w:t xml:space="preserve"> recharge</w:t>
      </w:r>
      <w:r w:rsidR="004D5767">
        <w:t>10</w:t>
      </w:r>
      <w:r w:rsidR="006162F3">
        <w:rPr>
          <w:noProof/>
        </w:rPr>
        <w:drawing>
          <wp:inline distT="0" distB="0" distL="0" distR="0" wp14:anchorId="7564699E" wp14:editId="46B10D98">
            <wp:extent cx="5019675" cy="3533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14:paraId="6DC06014" w14:textId="32BE9012" w:rsidR="006162F3" w:rsidRDefault="006162F3" w:rsidP="00DF3633">
      <w:pPr>
        <w:spacing w:line="276" w:lineRule="auto"/>
        <w:jc w:val="center"/>
      </w:pPr>
      <w:r>
        <w:t>Figure 6: flow with recharge</w:t>
      </w:r>
    </w:p>
    <w:p w14:paraId="0512CB9E" w14:textId="3583E3ED" w:rsidR="009605C8" w:rsidRDefault="00640337" w:rsidP="00DF3633">
      <w:pPr>
        <w:spacing w:line="276" w:lineRule="auto"/>
      </w:pPr>
      <w:r>
        <w:rPr>
          <w:noProof/>
        </w:rPr>
        <w:lastRenderedPageBreak/>
        <mc:AlternateContent>
          <mc:Choice Requires="wps">
            <w:drawing>
              <wp:anchor distT="0" distB="0" distL="114300" distR="114300" simplePos="0" relativeHeight="251659264" behindDoc="0" locked="0" layoutInCell="1" allowOverlap="1" wp14:anchorId="1B2CFD06" wp14:editId="1E2A16C6">
                <wp:simplePos x="0" y="0"/>
                <wp:positionH relativeFrom="column">
                  <wp:posOffset>1381124</wp:posOffset>
                </wp:positionH>
                <wp:positionV relativeFrom="paragraph">
                  <wp:posOffset>962025</wp:posOffset>
                </wp:positionV>
                <wp:extent cx="3105150" cy="828675"/>
                <wp:effectExtent l="0" t="0" r="19050" b="28575"/>
                <wp:wrapNone/>
                <wp:docPr id="22" name="Flowchart: Delay 22"/>
                <wp:cNvGraphicFramePr/>
                <a:graphic xmlns:a="http://schemas.openxmlformats.org/drawingml/2006/main">
                  <a:graphicData uri="http://schemas.microsoft.com/office/word/2010/wordprocessingShape">
                    <wps:wsp>
                      <wps:cNvSpPr/>
                      <wps:spPr>
                        <a:xfrm flipH="1">
                          <a:off x="0" y="0"/>
                          <a:ext cx="3105150" cy="828675"/>
                        </a:xfrm>
                        <a:prstGeom prst="flowChartDelay">
                          <a:avLst/>
                        </a:prstGeom>
                        <a:solidFill>
                          <a:schemeClr val="accent2">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35F4A0" id="_x0000_t135" coordsize="21600,21600" o:spt="135" path="m10800,qx21600,10800,10800,21600l,21600,,xe">
                <v:stroke joinstyle="miter"/>
                <v:path gradientshapeok="t" o:connecttype="rect" textboxrect="0,3163,18437,18437"/>
              </v:shapetype>
              <v:shape id="Flowchart: Delay 22" o:spid="_x0000_s1026" type="#_x0000_t135" style="position:absolute;margin-left:108.75pt;margin-top:75.75pt;width:244.5pt;height:65.2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" fillcolor="#ed7d31 [3205]" strokecolor="#1f3763 [1604]" strokeweight="1pt">
                <v:fill opacity="30069f"/>
              </v:shape>
            </w:pict>
          </mc:Fallback>
        </mc:AlternateContent>
      </w:r>
      <w:r w:rsidR="009605C8">
        <w:rPr>
          <w:noProof/>
        </w:rPr>
        <w:drawing>
          <wp:inline distT="0" distB="0" distL="0" distR="0" wp14:anchorId="2D8ACE74" wp14:editId="463CFA76">
            <wp:extent cx="5943600" cy="4752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DF002C8" w14:textId="6EE6AF18" w:rsidR="009605C8" w:rsidRDefault="009605C8" w:rsidP="009605C8">
      <w:pPr>
        <w:spacing w:line="276" w:lineRule="auto"/>
        <w:jc w:val="center"/>
      </w:pPr>
      <w:r>
        <w:t>Figure 7: flow vectors with recharge</w:t>
      </w:r>
      <w:r w:rsidR="00640337">
        <w:t>, with contamination zone</w:t>
      </w:r>
    </w:p>
    <w:p w14:paraId="022C1071" w14:textId="55A3B991" w:rsidR="00DF3633" w:rsidRDefault="00930A8F" w:rsidP="00DF3633">
      <w:pPr>
        <w:spacing w:line="276" w:lineRule="auto"/>
      </w:pPr>
      <w:r>
        <w:t xml:space="preserve">As recharge enters the system, the water table will rise and across X and Y. It doesn’t look like they add as much to the edge as it does the </w:t>
      </w:r>
      <w:proofErr w:type="gramStart"/>
      <w:r>
        <w:t>center</w:t>
      </w:r>
      <w:proofErr w:type="gramEnd"/>
      <w:r>
        <w:t xml:space="preserve"> and this might have something to do with the bump at the end of Figure 2. With recharge, we also see negative flow from the left, likely because of the inverted slope of head on the left side. </w:t>
      </w:r>
      <w:r w:rsidR="006162F3">
        <w:t>Flow is 3D and it is depicted in the 2D plan view as Figure 6 shows flow along y at two distinct x coordinates.</w:t>
      </w:r>
    </w:p>
    <w:p w14:paraId="41E85030" w14:textId="2C958801" w:rsidR="006162F3" w:rsidRDefault="006162F3" w:rsidP="00DF3633">
      <w:pPr>
        <w:spacing w:line="276" w:lineRule="auto"/>
      </w:pPr>
      <w:r>
        <w:t>Annual Excess Irrigation: (1e-</w:t>
      </w:r>
      <w:proofErr w:type="gramStart"/>
      <w:r>
        <w:t>4)m</w:t>
      </w:r>
      <w:proofErr w:type="gramEnd"/>
      <w:r>
        <w:t>/day * (4*100)^2m^2 = 16m^3/day</w:t>
      </w:r>
    </w:p>
    <w:p w14:paraId="03FA0225" w14:textId="31808C29" w:rsidR="002F20C6" w:rsidRDefault="002F20C6" w:rsidP="002F20C6">
      <w:pPr>
        <w:spacing w:line="276" w:lineRule="auto"/>
        <w:ind w:firstLine="720"/>
      </w:pPr>
      <w:r>
        <w:t>16</w:t>
      </w:r>
      <w:proofErr w:type="gramStart"/>
      <w:r>
        <w:t>/(</w:t>
      </w:r>
      <w:proofErr w:type="gramEnd"/>
      <w:r>
        <w:t>2500^2) = 2.56e-6 meters</w:t>
      </w:r>
    </w:p>
    <w:p w14:paraId="20EE403F" w14:textId="496704BE" w:rsidR="002F20C6" w:rsidRDefault="002F20C6" w:rsidP="002F20C6">
      <w:pPr>
        <w:spacing w:line="276" w:lineRule="auto"/>
      </w:pPr>
      <w:r>
        <w:t>Total Annual Irrigation</w:t>
      </w:r>
      <w:r w:rsidR="007A0B30">
        <w:t>:</w:t>
      </w:r>
    </w:p>
    <w:p w14:paraId="102DCAE9" w14:textId="32D319F2" w:rsidR="007A0B30" w:rsidRDefault="007A0B30" w:rsidP="002F20C6">
      <w:pPr>
        <w:spacing w:line="276" w:lineRule="auto"/>
      </w:pPr>
      <w:r>
        <w:t xml:space="preserve">Cotton Water Demand: </w:t>
      </w:r>
      <w:r w:rsidR="00A53940">
        <w:t>7.8 megaliters</w:t>
      </w:r>
      <w:r>
        <w:t>/hectare</w:t>
      </w:r>
    </w:p>
    <w:p w14:paraId="0C9C6E25" w14:textId="55467824" w:rsidR="007A0B30" w:rsidRDefault="007A0B30" w:rsidP="002F20C6">
      <w:pPr>
        <w:spacing w:line="276" w:lineRule="auto"/>
      </w:pPr>
      <w:r>
        <w:t>Area: 400 meters * 400meters = 160,000 m^2</w:t>
      </w:r>
    </w:p>
    <w:p w14:paraId="0B7BDA71" w14:textId="65E7CEF9" w:rsidR="007A0B30" w:rsidRDefault="0033664E" w:rsidP="002F20C6">
      <w:pPr>
        <w:spacing w:line="276" w:lineRule="auto"/>
      </w:pPr>
      <w:r>
        <w:t>160,000m2 * 1hectare/</w:t>
      </w:r>
      <w:r w:rsidR="00A53940">
        <w:t>10000m^2 * 7.8 megaliters/hectare = 124.8 megaliters</w:t>
      </w:r>
    </w:p>
    <w:p w14:paraId="39DBCD98" w14:textId="0E138243" w:rsidR="002F20C6" w:rsidRDefault="002F20C6" w:rsidP="002F20C6">
      <w:pPr>
        <w:spacing w:line="276" w:lineRule="auto"/>
      </w:pPr>
      <w:r>
        <w:lastRenderedPageBreak/>
        <w:t xml:space="preserve">Area at Risk: by looking at the head distribution with recharge from the farm, </w:t>
      </w:r>
      <w:r w:rsidR="009605C8">
        <w:t xml:space="preserve">it looks like </w:t>
      </w:r>
      <w:r w:rsidR="00640337">
        <w:t>contamination will be contained to down gradient of the farm as seen in Figure 7.</w:t>
      </w:r>
    </w:p>
    <w:p w14:paraId="17091EF7" w14:textId="0B74DF33" w:rsidR="00640337" w:rsidRDefault="005C60B0" w:rsidP="002F20C6">
      <w:pPr>
        <w:spacing w:line="276" w:lineRule="auto"/>
      </w:pPr>
      <w:r>
        <w:rPr>
          <w:noProof/>
        </w:rPr>
        <mc:AlternateContent>
          <mc:Choice Requires="wps">
            <w:drawing>
              <wp:anchor distT="0" distB="0" distL="114300" distR="114300" simplePos="0" relativeHeight="251661312" behindDoc="0" locked="0" layoutInCell="1" allowOverlap="1" wp14:anchorId="3296515F" wp14:editId="504C5006">
                <wp:simplePos x="0" y="0"/>
                <wp:positionH relativeFrom="column">
                  <wp:posOffset>1383527</wp:posOffset>
                </wp:positionH>
                <wp:positionV relativeFrom="paragraph">
                  <wp:posOffset>970059</wp:posOffset>
                </wp:positionV>
                <wp:extent cx="3105150" cy="930303"/>
                <wp:effectExtent l="0" t="0" r="19050" b="22225"/>
                <wp:wrapNone/>
                <wp:docPr id="24" name="Flowchart: Delay 24"/>
                <wp:cNvGraphicFramePr/>
                <a:graphic xmlns:a="http://schemas.openxmlformats.org/drawingml/2006/main">
                  <a:graphicData uri="http://schemas.microsoft.com/office/word/2010/wordprocessingShape">
                    <wps:wsp>
                      <wps:cNvSpPr/>
                      <wps:spPr>
                        <a:xfrm flipH="1">
                          <a:off x="0" y="0"/>
                          <a:ext cx="3105150" cy="930303"/>
                        </a:xfrm>
                        <a:prstGeom prst="flowChartDelay">
                          <a:avLst/>
                        </a:prstGeom>
                        <a:solidFill>
                          <a:schemeClr val="accent2">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D098" id="Flowchart: Delay 24" o:spid="_x0000_s1026" type="#_x0000_t135" style="position:absolute;margin-left:108.95pt;margin-top:76.4pt;width:244.5pt;height:7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" fillcolor="#ed7d31 [3205]" strokecolor="#1f3763 [1604]" strokeweight="1pt">
                <v:fill opacity="30069f"/>
              </v:shape>
            </w:pict>
          </mc:Fallback>
        </mc:AlternateContent>
      </w:r>
      <w:r w:rsidR="00640337">
        <w:rPr>
          <w:noProof/>
        </w:rPr>
        <mc:AlternateContent>
          <mc:Choice Requires="wps">
            <w:drawing>
              <wp:anchor distT="0" distB="0" distL="114300" distR="114300" simplePos="0" relativeHeight="251664384" behindDoc="0" locked="0" layoutInCell="1" allowOverlap="1" wp14:anchorId="645CA10C" wp14:editId="29E0F54D">
                <wp:simplePos x="0" y="0"/>
                <wp:positionH relativeFrom="column">
                  <wp:posOffset>704850</wp:posOffset>
                </wp:positionH>
                <wp:positionV relativeFrom="paragraph">
                  <wp:posOffset>1643063</wp:posOffset>
                </wp:positionV>
                <wp:extent cx="2543175" cy="619125"/>
                <wp:effectExtent l="0" t="0" r="28575" b="28575"/>
                <wp:wrapNone/>
                <wp:docPr id="26" name="Flowchart: Delay 26"/>
                <wp:cNvGraphicFramePr/>
                <a:graphic xmlns:a="http://schemas.openxmlformats.org/drawingml/2006/main">
                  <a:graphicData uri="http://schemas.microsoft.com/office/word/2010/wordprocessingShape">
                    <wps:wsp>
                      <wps:cNvSpPr/>
                      <wps:spPr>
                        <a:xfrm rot="10800000" flipH="1">
                          <a:off x="0" y="0"/>
                          <a:ext cx="2543175" cy="619125"/>
                        </a:xfrm>
                        <a:prstGeom prst="flowChartDelay">
                          <a:avLst/>
                        </a:prstGeom>
                        <a:solidFill>
                          <a:schemeClr val="accent1">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7B71F" id="Flowchart: Delay 26" o:spid="_x0000_s1026" type="#_x0000_t135" style="position:absolute;margin-left:55.5pt;margin-top:129.4pt;width:200.25pt;height:48.75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" fillcolor="#4472c4 [3204]" strokecolor="#1f3763 [1604]" strokeweight="1pt">
                <v:fill opacity="30069f"/>
              </v:shape>
            </w:pict>
          </mc:Fallback>
        </mc:AlternateContent>
      </w:r>
      <w:r w:rsidR="00640337">
        <w:rPr>
          <w:noProof/>
        </w:rPr>
        <w:drawing>
          <wp:inline distT="0" distB="0" distL="0" distR="0" wp14:anchorId="1D6767EC" wp14:editId="3558A575">
            <wp:extent cx="5943600" cy="4752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4A55009F" w14:textId="27D58225" w:rsidR="00640337" w:rsidRDefault="00640337" w:rsidP="00640337">
      <w:pPr>
        <w:spacing w:line="276" w:lineRule="auto"/>
        <w:jc w:val="center"/>
      </w:pPr>
      <w:r>
        <w:t>Figure 8: flow direction with recharge and pumping, contamination in orange and capture zone in blue</w:t>
      </w:r>
    </w:p>
    <w:p w14:paraId="54166C05" w14:textId="5CF743D8" w:rsidR="00640337" w:rsidRDefault="005C60B0" w:rsidP="00640337">
      <w:pPr>
        <w:spacing w:line="276" w:lineRule="auto"/>
      </w:pPr>
      <w:r>
        <w:t xml:space="preserve">The well bends the equipotential contours down gradient of the farm slightly, widening the area of the contamination zone and even redirecting more contamination into the capture zone. </w:t>
      </w:r>
    </w:p>
    <w:sectPr w:rsidR="0064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176459"/>
    <w:rsid w:val="002829D0"/>
    <w:rsid w:val="002F20C6"/>
    <w:rsid w:val="0033664E"/>
    <w:rsid w:val="003A2278"/>
    <w:rsid w:val="003B5BE3"/>
    <w:rsid w:val="003E151A"/>
    <w:rsid w:val="0041515E"/>
    <w:rsid w:val="00497896"/>
    <w:rsid w:val="004D5767"/>
    <w:rsid w:val="00563D06"/>
    <w:rsid w:val="005903F0"/>
    <w:rsid w:val="005C60B0"/>
    <w:rsid w:val="005F37E6"/>
    <w:rsid w:val="006162F3"/>
    <w:rsid w:val="00640337"/>
    <w:rsid w:val="006C296F"/>
    <w:rsid w:val="006F3017"/>
    <w:rsid w:val="00772D02"/>
    <w:rsid w:val="00791E75"/>
    <w:rsid w:val="007A0B30"/>
    <w:rsid w:val="00801AD0"/>
    <w:rsid w:val="00930A8F"/>
    <w:rsid w:val="009605C8"/>
    <w:rsid w:val="00A23CFA"/>
    <w:rsid w:val="00A53940"/>
    <w:rsid w:val="00B82ED2"/>
    <w:rsid w:val="00C33355"/>
    <w:rsid w:val="00D27640"/>
    <w:rsid w:val="00DF3633"/>
    <w:rsid w:val="00E444F6"/>
    <w:rsid w:val="00EE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3</cp:revision>
  <dcterms:created xsi:type="dcterms:W3CDTF">2021-02-23T01:43:00Z</dcterms:created>
  <dcterms:modified xsi:type="dcterms:W3CDTF">2021-02-23T23:32:00Z</dcterms:modified>
</cp:coreProperties>
</file>