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9D87D" w14:textId="15FF5A12" w:rsidR="003B5BE3" w:rsidRDefault="003B5BE3" w:rsidP="003B5BE3">
      <w:pPr>
        <w:spacing w:line="276" w:lineRule="auto"/>
      </w:pPr>
      <w:r>
        <w:t>Davian Peterson</w:t>
      </w:r>
    </w:p>
    <w:p w14:paraId="6E102AA8" w14:textId="1ED6175A" w:rsidR="003B5BE3" w:rsidRDefault="003B5BE3" w:rsidP="003B5BE3">
      <w:pPr>
        <w:spacing w:line="276" w:lineRule="auto"/>
      </w:pPr>
      <w:r>
        <w:t>HWRS 482</w:t>
      </w:r>
    </w:p>
    <w:p w14:paraId="164A8B19" w14:textId="572E9CAF" w:rsidR="003B5BE3" w:rsidRDefault="003B5BE3" w:rsidP="003B5BE3">
      <w:pPr>
        <w:spacing w:line="276" w:lineRule="auto"/>
      </w:pPr>
      <w:r>
        <w:t>Ty Ferre</w:t>
      </w:r>
    </w:p>
    <w:p w14:paraId="323DCAF4" w14:textId="33FBDBAE" w:rsidR="003B5BE3" w:rsidRDefault="003B5BE3" w:rsidP="003B5BE3">
      <w:pPr>
        <w:spacing w:line="276" w:lineRule="auto"/>
      </w:pPr>
      <w:r>
        <w:t>February 2, 2021</w:t>
      </w:r>
    </w:p>
    <w:p w14:paraId="60276917" w14:textId="61F8883C" w:rsidR="003B5BE3" w:rsidRDefault="003B5BE3" w:rsidP="003B5BE3">
      <w:pPr>
        <w:spacing w:line="276" w:lineRule="auto"/>
        <w:jc w:val="center"/>
      </w:pPr>
      <w:r>
        <w:t>Assignment 3</w:t>
      </w:r>
    </w:p>
    <w:p w14:paraId="168F41A9" w14:textId="3BAD80E8" w:rsidR="003B5BE3" w:rsidRDefault="003B5BE3" w:rsidP="003B5BE3">
      <w:pPr>
        <w:pStyle w:val="ListParagraph"/>
        <w:numPr>
          <w:ilvl w:val="0"/>
          <w:numId w:val="1"/>
        </w:numPr>
      </w:pPr>
      <w:r>
        <w:t>Explain why the flow distributions are the same for the left and right boundaries.</w:t>
      </w:r>
    </w:p>
    <w:p w14:paraId="4A8A0FF2" w14:textId="01C7EDD5" w:rsidR="003B5BE3" w:rsidRDefault="006B1335" w:rsidP="006B1335">
      <w:pPr>
        <w:pStyle w:val="ListParagraph"/>
        <w:numPr>
          <w:ilvl w:val="1"/>
          <w:numId w:val="1"/>
        </w:numPr>
      </w:pPr>
      <w:r>
        <w:t>Flow distributions are the same on the left and right</w:t>
      </w:r>
      <w:r w:rsidR="003B5BE3">
        <w:t xml:space="preserve"> because the system is steady state, meaning that flow in and flow out are equal at all times. </w:t>
      </w:r>
    </w:p>
    <w:p w14:paraId="13331FCB" w14:textId="77777777" w:rsidR="00A96DC5" w:rsidRPr="00A96DC5" w:rsidRDefault="006B1335" w:rsidP="00A96DC5">
      <w:pPr>
        <w:pStyle w:val="ListParagraph"/>
        <w:numPr>
          <w:ilvl w:val="1"/>
          <w:numId w:val="1"/>
        </w:numPr>
      </w:pPr>
      <w:r>
        <w:rPr>
          <w:color w:val="FF0000"/>
        </w:rPr>
        <w:t xml:space="preserve">Flow dips as it approaches the center </w:t>
      </w:r>
      <w:r w:rsidR="00A96DC5">
        <w:rPr>
          <w:color w:val="FF0000"/>
        </w:rPr>
        <w:t xml:space="preserve">by the inclusion’s obstruction. Even though </w:t>
      </w:r>
      <w:proofErr w:type="gramStart"/>
      <w:r w:rsidR="00A96DC5">
        <w:rPr>
          <w:color w:val="FF0000"/>
        </w:rPr>
        <w:t>it’s</w:t>
      </w:r>
      <w:proofErr w:type="gramEnd"/>
      <w:r w:rsidR="00A96DC5">
        <w:rPr>
          <w:color w:val="FF0000"/>
        </w:rPr>
        <w:t xml:space="preserve"> not passing through the inclusion, the flow competes for space with the water that is moving quickly around the inclusion.</w:t>
      </w:r>
    </w:p>
    <w:p w14:paraId="2208829B" w14:textId="31EC24BD" w:rsidR="003B5BE3" w:rsidRDefault="003B5BE3" w:rsidP="003B5BE3">
      <w:pPr>
        <w:pStyle w:val="ListParagraph"/>
        <w:numPr>
          <w:ilvl w:val="0"/>
          <w:numId w:val="1"/>
        </w:numPr>
      </w:pPr>
      <w:r>
        <w:t>Add a plot of the left-to-right flow along a line that passes through the center of the inclusion. What can you learn from comparing this distribution to that seen on the boundaries?</w:t>
      </w:r>
    </w:p>
    <w:p w14:paraId="4B4A29F2" w14:textId="770F6A7D" w:rsidR="003B5BE3" w:rsidRDefault="00087494" w:rsidP="003B5BE3">
      <w:pPr>
        <w:pStyle w:val="ListParagraph"/>
        <w:numPr>
          <w:ilvl w:val="1"/>
          <w:numId w:val="1"/>
        </w:numPr>
      </w:pPr>
      <w:r>
        <w:t xml:space="preserve">The plots of the boundary flow are relatively constant, only slightly slowed by the inclusion in the middle. However, flow going straight through the inclusion will slow much faster once it enters the inclusion of lower hydraulic conductivity. </w:t>
      </w:r>
    </w:p>
    <w:p w14:paraId="257543FC" w14:textId="794B07BD" w:rsidR="00A96DC5" w:rsidRDefault="00A96DC5" w:rsidP="00A96DC5">
      <w:pPr>
        <w:pStyle w:val="ListParagraph"/>
        <w:numPr>
          <w:ilvl w:val="1"/>
          <w:numId w:val="1"/>
        </w:numPr>
      </w:pPr>
      <w:r>
        <w:rPr>
          <w:color w:val="FF0000"/>
        </w:rPr>
        <w:t>The increase in flow before dropping sharply as it enters the inclusion comes from the contribution of lateral</w:t>
      </w:r>
      <w:r w:rsidRPr="00A96DC5">
        <w:rPr>
          <w:color w:val="FF0000"/>
        </w:rPr>
        <w:t xml:space="preserve"> flow</w:t>
      </w:r>
      <w:r>
        <w:rPr>
          <w:color w:val="FF0000"/>
        </w:rPr>
        <w:t xml:space="preserve">. This takes places because the flow headed for the inclusion is then diverted away to move quickly around through the greater hydraulic conductivity. </w:t>
      </w:r>
      <w:r w:rsidRPr="00A96DC5">
        <w:rPr>
          <w:color w:val="FF0000"/>
        </w:rPr>
        <w:t xml:space="preserve"> </w:t>
      </w:r>
    </w:p>
    <w:p w14:paraId="4D72F277" w14:textId="77777777" w:rsidR="00A96DC5" w:rsidRDefault="00A96DC5" w:rsidP="00A96DC5">
      <w:pPr>
        <w:jc w:val="center"/>
      </w:pPr>
      <w:r>
        <w:rPr>
          <w:noProof/>
        </w:rPr>
        <w:drawing>
          <wp:inline distT="0" distB="0" distL="0" distR="0" wp14:anchorId="4DCCAA74" wp14:editId="3FB3FB35">
            <wp:extent cx="4905375" cy="353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2D1BB29F" w14:textId="072CE442" w:rsidR="002829D0" w:rsidRDefault="00087494" w:rsidP="002829D0">
      <w:pPr>
        <w:pStyle w:val="ListParagraph"/>
        <w:numPr>
          <w:ilvl w:val="0"/>
          <w:numId w:val="1"/>
        </w:numPr>
      </w:pPr>
      <w:r w:rsidRPr="00087494">
        <w:lastRenderedPageBreak/>
        <w:t>Calculate the total flow into (and out of) the domain. Use this to calculate the Keq of the heterogeneous system with the K values as given in the starter code. Repeat this calculation for the following K values for the inclusion (keeping the background K as it is given): 0.01, 0.1, 1, 10, 100. Compare the Keq to the harmonic and arithmetic mean K values based on the area occupied by each medium (rather than the length for a 1D system). Can you draw any general conclusions about the impact of high or low K heterogeneities on the equivalent K for the flow system examined?</w:t>
      </w:r>
    </w:p>
    <w:p w14:paraId="603D642F" w14:textId="677A9589" w:rsidR="00A033A7" w:rsidRDefault="00A033A7" w:rsidP="00A033A7">
      <w:pPr>
        <w:pStyle w:val="ListParagraph"/>
        <w:numPr>
          <w:ilvl w:val="1"/>
          <w:numId w:val="1"/>
        </w:numPr>
      </w:pPr>
      <w:r>
        <w:rPr>
          <w:color w:val="FF0000"/>
        </w:rPr>
        <w:t xml:space="preserve">Both harmonic and arithmetic </w:t>
      </w:r>
      <w:proofErr w:type="spellStart"/>
      <w:r>
        <w:rPr>
          <w:color w:val="FF0000"/>
        </w:rPr>
        <w:t>Keqs</w:t>
      </w:r>
      <w:proofErr w:type="spellEnd"/>
      <w:r>
        <w:rPr>
          <w:color w:val="FF0000"/>
        </w:rPr>
        <w:t xml:space="preserve"> better represent the background despite inclusion Ks as low as .01 or as high as 100 m/day, likely because of the greater area. </w:t>
      </w:r>
    </w:p>
    <w:p w14:paraId="1A6A63BF" w14:textId="078205CD" w:rsidR="00A033A7" w:rsidRDefault="00A033A7" w:rsidP="00A033A7">
      <w:pPr>
        <w:jc w:val="center"/>
      </w:pPr>
      <w:r>
        <w:rPr>
          <w:noProof/>
        </w:rPr>
        <w:drawing>
          <wp:inline distT="0" distB="0" distL="0" distR="0" wp14:anchorId="22253934" wp14:editId="09104E6B">
            <wp:extent cx="4572000" cy="3443288"/>
            <wp:effectExtent l="0" t="0" r="0" b="5080"/>
            <wp:docPr id="2" name="Chart 2">
              <a:extLst xmlns:a="http://schemas.openxmlformats.org/drawingml/2006/main">
                <a:ext uri="{FF2B5EF4-FFF2-40B4-BE49-F238E27FC236}">
                  <a16:creationId xmlns:a16="http://schemas.microsoft.com/office/drawing/2014/main" id="{B8BD7764-5D11-481F-9E6F-0555B98279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3DEF0FA" w14:textId="239F30B1" w:rsidR="002829D0" w:rsidRPr="002829D0" w:rsidRDefault="002829D0" w:rsidP="002829D0">
      <w:pPr>
        <w:pStyle w:val="ListParagraph"/>
        <w:numPr>
          <w:ilvl w:val="0"/>
          <w:numId w:val="1"/>
        </w:numPr>
      </w:pPr>
      <w:r w:rsidRPr="002829D0">
        <w:t>Does the equipotential distribution depend on the absolute or relative K values for the background and the inclusion? How would you use the model to test your answer?</w:t>
      </w:r>
    </w:p>
    <w:p w14:paraId="2FE64CC9" w14:textId="21E72278" w:rsidR="00087494" w:rsidRDefault="002829D0" w:rsidP="002829D0">
      <w:pPr>
        <w:pStyle w:val="ListParagraph"/>
        <w:numPr>
          <w:ilvl w:val="1"/>
          <w:numId w:val="1"/>
        </w:numPr>
      </w:pPr>
      <w:r>
        <w:t xml:space="preserve">To understand this better, the hydraulic conductivities of the background and inclusion could be multiplied by a common magnitude factor. Multiple equipotential distribution graphs could be developed by adjusting the magnitude while preserving the ratio between the background and inclusion values. </w:t>
      </w:r>
    </w:p>
    <w:sectPr w:rsidR="0008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6F286F"/>
    <w:multiLevelType w:val="hybridMultilevel"/>
    <w:tmpl w:val="24402CFE"/>
    <w:lvl w:ilvl="0" w:tplc="C48CD1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E3"/>
    <w:rsid w:val="00087494"/>
    <w:rsid w:val="002829D0"/>
    <w:rsid w:val="003B5BE3"/>
    <w:rsid w:val="003E151A"/>
    <w:rsid w:val="006B1335"/>
    <w:rsid w:val="00A033A7"/>
    <w:rsid w:val="00A96DC5"/>
    <w:rsid w:val="00D2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E24B"/>
  <w15:chartTrackingRefBased/>
  <w15:docId w15:val="{D5D3BBB8-8A86-4D1E-BCAB-549298FC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E3"/>
    <w:pPr>
      <w:ind w:left="720"/>
      <w:contextualSpacing/>
    </w:pPr>
  </w:style>
  <w:style w:type="paragraph" w:styleId="NormalWeb">
    <w:name w:val="Normal (Web)"/>
    <w:basedOn w:val="Normal"/>
    <w:uiPriority w:val="99"/>
    <w:semiHidden/>
    <w:unhideWhenUsed/>
    <w:rsid w:val="00282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65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545603674540679"/>
          <c:y val="0.1475699912510936"/>
          <c:w val="0.79332174103237096"/>
          <c:h val="0.72185112277631958"/>
        </c:manualLayout>
      </c:layout>
      <c:scatterChart>
        <c:scatterStyle val="lineMarker"/>
        <c:varyColors val="0"/>
        <c:ser>
          <c:idx val="0"/>
          <c:order val="0"/>
          <c:tx>
            <c:strRef>
              <c:f>Sheet1!$E$1</c:f>
              <c:strCache>
                <c:ptCount val="1"/>
                <c:pt idx="0">
                  <c:v>Keq harmonic</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0.01</c:v>
                </c:pt>
                <c:pt idx="1">
                  <c:v>0.1</c:v>
                </c:pt>
                <c:pt idx="2">
                  <c:v>1</c:v>
                </c:pt>
                <c:pt idx="3">
                  <c:v>10</c:v>
                </c:pt>
                <c:pt idx="4">
                  <c:v>100</c:v>
                </c:pt>
              </c:numCache>
            </c:numRef>
          </c:xVal>
          <c:yVal>
            <c:numRef>
              <c:f>Sheet1!$E$2:$E$6</c:f>
              <c:numCache>
                <c:formatCode>General</c:formatCode>
                <c:ptCount val="5"/>
                <c:pt idx="0">
                  <c:v>0.20161290322580644</c:v>
                </c:pt>
                <c:pt idx="1">
                  <c:v>0.73529411764705888</c:v>
                </c:pt>
                <c:pt idx="2">
                  <c:v>1</c:v>
                </c:pt>
                <c:pt idx="3">
                  <c:v>1.0373443983402491</c:v>
                </c:pt>
                <c:pt idx="4">
                  <c:v>1.0412328196584757</c:v>
                </c:pt>
              </c:numCache>
            </c:numRef>
          </c:yVal>
          <c:smooth val="0"/>
          <c:extLst>
            <c:ext xmlns:c16="http://schemas.microsoft.com/office/drawing/2014/chart" uri="{C3380CC4-5D6E-409C-BE32-E72D297353CC}">
              <c16:uniqueId val="{00000000-441E-4E79-8208-994E107A95CF}"/>
            </c:ext>
          </c:extLst>
        </c:ser>
        <c:ser>
          <c:idx val="1"/>
          <c:order val="1"/>
          <c:tx>
            <c:strRef>
              <c:f>Sheet1!$F$1</c:f>
              <c:strCache>
                <c:ptCount val="1"/>
                <c:pt idx="0">
                  <c:v>Keq arithmetic</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0.01</c:v>
                </c:pt>
                <c:pt idx="1">
                  <c:v>0.1</c:v>
                </c:pt>
                <c:pt idx="2">
                  <c:v>1</c:v>
                </c:pt>
                <c:pt idx="3">
                  <c:v>10</c:v>
                </c:pt>
                <c:pt idx="4">
                  <c:v>100</c:v>
                </c:pt>
              </c:numCache>
            </c:numRef>
          </c:xVal>
          <c:yVal>
            <c:numRef>
              <c:f>Sheet1!$F$2:$F$6</c:f>
              <c:numCache>
                <c:formatCode>General</c:formatCode>
                <c:ptCount val="5"/>
                <c:pt idx="0">
                  <c:v>0.96040000000000003</c:v>
                </c:pt>
                <c:pt idx="1">
                  <c:v>0.96399999999999997</c:v>
                </c:pt>
                <c:pt idx="2">
                  <c:v>1</c:v>
                </c:pt>
                <c:pt idx="3">
                  <c:v>1.36</c:v>
                </c:pt>
                <c:pt idx="4">
                  <c:v>4.96</c:v>
                </c:pt>
              </c:numCache>
            </c:numRef>
          </c:yVal>
          <c:smooth val="0"/>
          <c:extLst>
            <c:ext xmlns:c16="http://schemas.microsoft.com/office/drawing/2014/chart" uri="{C3380CC4-5D6E-409C-BE32-E72D297353CC}">
              <c16:uniqueId val="{00000001-441E-4E79-8208-994E107A95CF}"/>
            </c:ext>
          </c:extLst>
        </c:ser>
        <c:ser>
          <c:idx val="2"/>
          <c:order val="2"/>
          <c:tx>
            <c:strRef>
              <c:f>Sheet1!$B$1</c:f>
              <c:strCache>
                <c:ptCount val="1"/>
                <c:pt idx="0">
                  <c:v>K_background</c:v>
                </c:pt>
              </c:strCache>
            </c:strRef>
          </c:tx>
          <c:spPr>
            <a:ln w="19050" cap="rnd">
              <a:solidFill>
                <a:schemeClr val="bg1">
                  <a:lumMod val="75000"/>
                </a:schemeClr>
              </a:solidFill>
              <a:round/>
            </a:ln>
            <a:effectLst/>
          </c:spPr>
          <c:marker>
            <c:symbol val="none"/>
          </c:marker>
          <c:xVal>
            <c:numRef>
              <c:f>Sheet1!$A$2:$A$6</c:f>
              <c:numCache>
                <c:formatCode>General</c:formatCode>
                <c:ptCount val="5"/>
                <c:pt idx="0">
                  <c:v>0.01</c:v>
                </c:pt>
                <c:pt idx="1">
                  <c:v>0.1</c:v>
                </c:pt>
                <c:pt idx="2">
                  <c:v>1</c:v>
                </c:pt>
                <c:pt idx="3">
                  <c:v>10</c:v>
                </c:pt>
                <c:pt idx="4">
                  <c:v>100</c:v>
                </c:pt>
              </c:numCache>
            </c:numRef>
          </c:xVal>
          <c:yVal>
            <c:numRef>
              <c:f>Sheet1!$B$2:$B$6</c:f>
              <c:numCache>
                <c:formatCode>General</c:formatCode>
                <c:ptCount val="5"/>
                <c:pt idx="0">
                  <c:v>1</c:v>
                </c:pt>
                <c:pt idx="1">
                  <c:v>1</c:v>
                </c:pt>
                <c:pt idx="2">
                  <c:v>1</c:v>
                </c:pt>
                <c:pt idx="3">
                  <c:v>1</c:v>
                </c:pt>
                <c:pt idx="4">
                  <c:v>1</c:v>
                </c:pt>
              </c:numCache>
            </c:numRef>
          </c:yVal>
          <c:smooth val="0"/>
          <c:extLst>
            <c:ext xmlns:c16="http://schemas.microsoft.com/office/drawing/2014/chart" uri="{C3380CC4-5D6E-409C-BE32-E72D297353CC}">
              <c16:uniqueId val="{00000002-441E-4E79-8208-994E107A95CF}"/>
            </c:ext>
          </c:extLst>
        </c:ser>
        <c:ser>
          <c:idx val="3"/>
          <c:order val="3"/>
          <c:tx>
            <c:strRef>
              <c:f>Sheet1!$A$1</c:f>
              <c:strCache>
                <c:ptCount val="1"/>
                <c:pt idx="0">
                  <c:v>K_inclusion</c:v>
                </c:pt>
              </c:strCache>
            </c:strRef>
          </c:tx>
          <c:spPr>
            <a:ln w="22225" cap="rnd">
              <a:solidFill>
                <a:schemeClr val="bg1">
                  <a:lumMod val="50000"/>
                </a:schemeClr>
              </a:solidFill>
              <a:round/>
            </a:ln>
            <a:effectLst/>
          </c:spPr>
          <c:marker>
            <c:symbol val="none"/>
          </c:marker>
          <c:xVal>
            <c:numRef>
              <c:f>Sheet1!$A$2:$A$6</c:f>
              <c:numCache>
                <c:formatCode>General</c:formatCode>
                <c:ptCount val="5"/>
                <c:pt idx="0">
                  <c:v>0.01</c:v>
                </c:pt>
                <c:pt idx="1">
                  <c:v>0.1</c:v>
                </c:pt>
                <c:pt idx="2">
                  <c:v>1</c:v>
                </c:pt>
                <c:pt idx="3">
                  <c:v>10</c:v>
                </c:pt>
                <c:pt idx="4">
                  <c:v>100</c:v>
                </c:pt>
              </c:numCache>
            </c:numRef>
          </c:xVal>
          <c:yVal>
            <c:numRef>
              <c:f>Sheet1!$A$2:$A$6</c:f>
              <c:numCache>
                <c:formatCode>General</c:formatCode>
                <c:ptCount val="5"/>
                <c:pt idx="0">
                  <c:v>0.01</c:v>
                </c:pt>
                <c:pt idx="1">
                  <c:v>0.1</c:v>
                </c:pt>
                <c:pt idx="2">
                  <c:v>1</c:v>
                </c:pt>
                <c:pt idx="3">
                  <c:v>10</c:v>
                </c:pt>
                <c:pt idx="4">
                  <c:v>100</c:v>
                </c:pt>
              </c:numCache>
            </c:numRef>
          </c:yVal>
          <c:smooth val="0"/>
          <c:extLst>
            <c:ext xmlns:c16="http://schemas.microsoft.com/office/drawing/2014/chart" uri="{C3380CC4-5D6E-409C-BE32-E72D297353CC}">
              <c16:uniqueId val="{00000003-441E-4E79-8208-994E107A95CF}"/>
            </c:ext>
          </c:extLst>
        </c:ser>
        <c:dLbls>
          <c:showLegendKey val="0"/>
          <c:showVal val="0"/>
          <c:showCatName val="0"/>
          <c:showSerName val="0"/>
          <c:showPercent val="0"/>
          <c:showBubbleSize val="0"/>
        </c:dLbls>
        <c:axId val="1781607119"/>
        <c:axId val="1781610863"/>
      </c:scatterChart>
      <c:valAx>
        <c:axId val="1781607119"/>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Kinclusion</a:t>
                </a:r>
                <a:r>
                  <a:rPr lang="en-US" baseline="0"/>
                  <a:t> (m/day)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610863"/>
        <c:crosses val="autoZero"/>
        <c:crossBetween val="midCat"/>
      </c:valAx>
      <c:valAx>
        <c:axId val="1781610863"/>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Keq</a:t>
                </a:r>
                <a:r>
                  <a:rPr lang="en-US" baseline="0"/>
                  <a:t> (m/day)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60711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1318</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Davian Keith - (dkapeterson)</dc:creator>
  <cp:keywords/>
  <dc:description/>
  <cp:lastModifiedBy>Peterson, Davian Keith - (dkapeterson)</cp:lastModifiedBy>
  <cp:revision>2</cp:revision>
  <dcterms:created xsi:type="dcterms:W3CDTF">2021-02-03T23:33:00Z</dcterms:created>
  <dcterms:modified xsi:type="dcterms:W3CDTF">2021-02-03T23:33:00Z</dcterms:modified>
</cp:coreProperties>
</file>