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35AD" w14:textId="521C8AE9" w:rsidR="00C973E3" w:rsidRPr="00576ED2" w:rsidRDefault="00C973E3" w:rsidP="00C973E3">
      <w:pPr>
        <w:jc w:val="right"/>
        <w:rPr>
          <w:rFonts w:cstheme="minorHAnsi"/>
        </w:rPr>
      </w:pPr>
      <w:r w:rsidRPr="00576ED2">
        <w:rPr>
          <w:rFonts w:cstheme="minorHAnsi"/>
        </w:rPr>
        <w:t>Jason Schlottman</w:t>
      </w:r>
    </w:p>
    <w:p w14:paraId="2C09F71F" w14:textId="40689F87" w:rsidR="00C973E3" w:rsidRPr="00576ED2" w:rsidRDefault="00C973E3" w:rsidP="00C973E3">
      <w:pPr>
        <w:jc w:val="right"/>
        <w:rPr>
          <w:rFonts w:cstheme="minorHAnsi"/>
        </w:rPr>
      </w:pPr>
      <w:r w:rsidRPr="00576ED2">
        <w:rPr>
          <w:rFonts w:cstheme="minorHAnsi"/>
        </w:rPr>
        <w:t>HWRS 582</w:t>
      </w:r>
    </w:p>
    <w:p w14:paraId="6E8A564A" w14:textId="08BCD0C4" w:rsidR="00632E53" w:rsidRPr="00576ED2" w:rsidRDefault="00C973E3" w:rsidP="00C973E3">
      <w:pPr>
        <w:jc w:val="center"/>
        <w:rPr>
          <w:rFonts w:cstheme="minorHAnsi"/>
          <w:b/>
          <w:bCs/>
          <w:sz w:val="24"/>
          <w:szCs w:val="24"/>
        </w:rPr>
      </w:pPr>
      <w:r w:rsidRPr="00576ED2">
        <w:rPr>
          <w:rFonts w:cstheme="minorHAnsi"/>
          <w:b/>
          <w:bCs/>
          <w:sz w:val="24"/>
          <w:szCs w:val="24"/>
        </w:rPr>
        <w:t>The Challenge -Transient</w:t>
      </w:r>
    </w:p>
    <w:p w14:paraId="22D23B88" w14:textId="6BA49E63" w:rsidR="00576ED2" w:rsidRDefault="00576ED2" w:rsidP="00576E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The gradient is not uniform for the initial steady state conditions - discuss the influences of recharge and the unconfined condition on this nonlinearity</w:t>
      </w:r>
    </w:p>
    <w:p w14:paraId="6FFD4075" w14:textId="77777777" w:rsidR="00576ED2" w:rsidRPr="00576ED2" w:rsidRDefault="00576ED2" w:rsidP="00576ED2">
      <w:pPr>
        <w:pStyle w:val="ListParagraph"/>
        <w:rPr>
          <w:sz w:val="24"/>
          <w:szCs w:val="24"/>
        </w:rPr>
      </w:pPr>
      <w:r w:rsidRPr="00576ED2">
        <w:rPr>
          <w:sz w:val="24"/>
          <w:szCs w:val="24"/>
        </w:rPr>
        <w:t>Initial Figures prior to corrections:</w:t>
      </w:r>
    </w:p>
    <w:p w14:paraId="72E8E4F6" w14:textId="7CF57B1D" w:rsidR="00576ED2" w:rsidRDefault="00576ED2" w:rsidP="00576ED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</w:rPr>
      </w:pPr>
      <w:r>
        <w:rPr>
          <w:noProof/>
        </w:rPr>
        <w:drawing>
          <wp:inline distT="0" distB="0" distL="0" distR="0" wp14:anchorId="1F79B068" wp14:editId="1A7144CC">
            <wp:extent cx="37242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F7DA" w14:textId="1EB14AD4" w:rsidR="006D3ACE" w:rsidRPr="006D3ACE" w:rsidRDefault="006D3ACE" w:rsidP="00576ED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24292E"/>
        </w:rPr>
      </w:pPr>
      <w:r>
        <w:rPr>
          <w:noProof/>
        </w:rPr>
        <w:drawing>
          <wp:inline distT="0" distB="0" distL="0" distR="0" wp14:anchorId="12905865" wp14:editId="469BE911">
            <wp:extent cx="3918857" cy="36456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129" cy="36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A872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lastRenderedPageBreak/>
        <w:t>b) Determine if the system has reached steady state - consider a point at the well and another at the center of the domain.</w:t>
      </w:r>
    </w:p>
    <w:p w14:paraId="764507A9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c) Find the zone of influence of the well defined in two ways: - Based on the drawdown from the initial steady state to the end of simulation time (end of final no-pumping stress period). - Based on the drawdown from the end of the last pump-on stress period to the end of simulation time.</w:t>
      </w:r>
    </w:p>
    <w:p w14:paraId="5143CE1D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d) How long does it take a point at the center of the domain to reach steady state. At that point, explain how you could divide the domain into a steady and transient part and solve each separately.</w:t>
      </w:r>
    </w:p>
    <w:p w14:paraId="314701C8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e) Find a constant pumping rate (same throughout the year) that matches the head time series at the middle of the domain.</w:t>
      </w:r>
    </w:p>
    <w:p w14:paraId="0C1C27EE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f) Find a constant pumping rate (same throughout the year) that matches the head time series at the well, leaving only a regular, repeating seasonal residual. Are the two pumping rates the same?</w:t>
      </w:r>
    </w:p>
    <w:p w14:paraId="2F3499DF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g) Discuss the sources of water captured by this well. If you're up for a challenge, calculate them for the final pump-on period!</w:t>
      </w:r>
    </w:p>
    <w:p w14:paraId="0FFFD3A3" w14:textId="77777777" w:rsidR="00576ED2" w:rsidRPr="00576ED2" w:rsidRDefault="00576ED2" w:rsidP="00576ED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76ED2">
        <w:rPr>
          <w:rFonts w:asciiTheme="minorHAnsi" w:hAnsiTheme="minorHAnsi" w:cstheme="minorHAnsi"/>
          <w:color w:val="24292E"/>
        </w:rPr>
        <w:t>h) Discuss how you would define the capture zone of the well. How is it different than our definitions of capture zone so far in the course?</w:t>
      </w:r>
    </w:p>
    <w:p w14:paraId="4EA1B70F" w14:textId="59636E69" w:rsidR="00C973E3" w:rsidRPr="00576ED2" w:rsidRDefault="00C973E3" w:rsidP="00576ED2">
      <w:pPr>
        <w:rPr>
          <w:rFonts w:cstheme="minorHAnsi"/>
          <w:sz w:val="24"/>
          <w:szCs w:val="24"/>
        </w:rPr>
      </w:pPr>
    </w:p>
    <w:sectPr w:rsidR="00C973E3" w:rsidRPr="0057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D4626"/>
    <w:multiLevelType w:val="hybridMultilevel"/>
    <w:tmpl w:val="BC4AD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027E"/>
    <w:multiLevelType w:val="hybridMultilevel"/>
    <w:tmpl w:val="B5C4C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E5C3E"/>
    <w:multiLevelType w:val="hybridMultilevel"/>
    <w:tmpl w:val="AAE246C2"/>
    <w:lvl w:ilvl="0" w:tplc="92D6AB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3"/>
    <w:rsid w:val="00576ED2"/>
    <w:rsid w:val="00632E53"/>
    <w:rsid w:val="006D3ACE"/>
    <w:rsid w:val="00C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01C"/>
  <w15:chartTrackingRefBased/>
  <w15:docId w15:val="{D84393A0-A852-4306-85C6-418AF5B5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2021-03-18T21:13:00Z</dcterms:created>
  <dcterms:modified xsi:type="dcterms:W3CDTF">2021-03-18T21:51:00Z</dcterms:modified>
</cp:coreProperties>
</file>