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F6457" w14:textId="77777777" w:rsidR="00704232" w:rsidRDefault="00704232" w:rsidP="00741AB5">
      <w:pPr>
        <w:pStyle w:val="Body"/>
        <w:spacing w:before="0"/>
        <w:ind w:firstLine="0"/>
        <w:jc w:val="center"/>
        <w:rPr>
          <w:b/>
          <w:bCs/>
        </w:rPr>
      </w:pPr>
      <w:r w:rsidRPr="00704232">
        <w:rPr>
          <w:b/>
          <w:bCs/>
        </w:rPr>
        <w:t>HWRS 582 – Groundwater modeling</w:t>
      </w:r>
    </w:p>
    <w:p w14:paraId="47E7A025" w14:textId="0068E2FC" w:rsidR="00741AB5" w:rsidRPr="003115CE" w:rsidRDefault="00704232" w:rsidP="00741AB5">
      <w:pPr>
        <w:pStyle w:val="Body"/>
        <w:spacing w:before="0"/>
        <w:ind w:firstLine="0"/>
        <w:jc w:val="center"/>
        <w:rPr>
          <w:b/>
          <w:bCs/>
        </w:rPr>
      </w:pPr>
      <w:r>
        <w:rPr>
          <w:b/>
          <w:bCs/>
        </w:rPr>
        <w:t>HM3 - Challenge</w:t>
      </w:r>
      <w:r w:rsidR="00741AB5" w:rsidRPr="003115CE">
        <w:rPr>
          <w:b/>
          <w:bCs/>
        </w:rPr>
        <w:t xml:space="preserve"> </w:t>
      </w:r>
    </w:p>
    <w:p w14:paraId="4426A8A8" w14:textId="1CE0C19B" w:rsidR="00741AB5" w:rsidRPr="00704232" w:rsidRDefault="00741AB5" w:rsidP="00741AB5">
      <w:pPr>
        <w:pStyle w:val="Body"/>
        <w:spacing w:before="0"/>
        <w:ind w:firstLine="0"/>
        <w:jc w:val="center"/>
        <w:rPr>
          <w:lang w:val="es-CL"/>
        </w:rPr>
      </w:pPr>
      <w:r w:rsidRPr="00704232">
        <w:rPr>
          <w:lang w:val="es-CL"/>
        </w:rPr>
        <w:t>Luis De la Fuente</w:t>
      </w:r>
    </w:p>
    <w:p w14:paraId="75700769" w14:textId="439DC1B9" w:rsidR="00741AB5" w:rsidRPr="00704232" w:rsidRDefault="00741AB5" w:rsidP="00741AB5">
      <w:pPr>
        <w:pStyle w:val="Body"/>
        <w:spacing w:before="0"/>
        <w:ind w:firstLine="0"/>
        <w:jc w:val="center"/>
        <w:rPr>
          <w:lang w:val="es-CL"/>
        </w:rPr>
      </w:pPr>
      <w:proofErr w:type="spellStart"/>
      <w:r w:rsidRPr="00704232">
        <w:rPr>
          <w:lang w:val="es-CL"/>
        </w:rPr>
        <w:t>Submitted</w:t>
      </w:r>
      <w:proofErr w:type="spellEnd"/>
      <w:r w:rsidRPr="00704232">
        <w:rPr>
          <w:lang w:val="es-CL"/>
        </w:rPr>
        <w:t xml:space="preserve"> </w:t>
      </w:r>
      <w:proofErr w:type="spellStart"/>
      <w:r w:rsidRPr="00704232">
        <w:rPr>
          <w:lang w:val="es-CL"/>
        </w:rPr>
        <w:t>on</w:t>
      </w:r>
      <w:proofErr w:type="spellEnd"/>
      <w:r w:rsidRPr="00704232">
        <w:rPr>
          <w:lang w:val="es-CL"/>
        </w:rPr>
        <w:t xml:space="preserve"> </w:t>
      </w:r>
      <w:r w:rsidR="00D101C8" w:rsidRPr="00704232">
        <w:rPr>
          <w:lang w:val="es-CL"/>
        </w:rPr>
        <w:t>01/</w:t>
      </w:r>
      <w:r w:rsidR="00704232">
        <w:rPr>
          <w:lang w:val="es-CL"/>
        </w:rPr>
        <w:t>02</w:t>
      </w:r>
      <w:r w:rsidR="00D101C8" w:rsidRPr="00704232">
        <w:rPr>
          <w:lang w:val="es-CL"/>
        </w:rPr>
        <w:t>/2021.</w:t>
      </w:r>
    </w:p>
    <w:p w14:paraId="00315ECF" w14:textId="72F7F9A9" w:rsidR="00741AB5" w:rsidRPr="00704232" w:rsidRDefault="00741AB5" w:rsidP="00741AB5">
      <w:pPr>
        <w:pStyle w:val="Body"/>
        <w:rPr>
          <w:lang w:val="es-CL"/>
        </w:rPr>
      </w:pPr>
    </w:p>
    <w:p w14:paraId="3091235B" w14:textId="51B03085" w:rsidR="00741AB5" w:rsidRPr="003115CE" w:rsidRDefault="00704232" w:rsidP="00704232">
      <w:pPr>
        <w:pStyle w:val="Body"/>
        <w:numPr>
          <w:ilvl w:val="0"/>
          <w:numId w:val="1"/>
        </w:numPr>
        <w:ind w:left="851" w:hanging="851"/>
        <w:rPr>
          <w:b/>
          <w:bCs/>
        </w:rPr>
      </w:pPr>
      <w:r w:rsidRPr="00704232">
        <w:rPr>
          <w:b/>
          <w:bCs/>
        </w:rPr>
        <w:t>For the initial values of background and inclusion K, plot the flow into the left and out of the right boundary. (The code, as provided, makes this plot for you.) Explain why the values are not constant along the boundary (relate to the definition of a Type I boundary). Explain why the flow distributions are the same for the left and right boundaries.</w:t>
      </w:r>
    </w:p>
    <w:p w14:paraId="78FC08F9" w14:textId="54B620C1" w:rsidR="0067118E" w:rsidRPr="003115CE" w:rsidRDefault="00704232" w:rsidP="00704232">
      <w:pPr>
        <w:pStyle w:val="Body"/>
      </w:pPr>
      <w:r>
        <w:t xml:space="preserve">The left and right flow distribution at the boundary is the same because the inclusion is exactly in </w:t>
      </w:r>
      <w:r w:rsidR="0051219D">
        <w:t xml:space="preserve">the </w:t>
      </w:r>
      <w:r>
        <w:t>middle of the domain</w:t>
      </w:r>
      <w:r w:rsidR="00246DD2" w:rsidRPr="003115CE">
        <w:t>.</w:t>
      </w:r>
      <w:r>
        <w:t xml:space="preserve"> In other words, if the inclusion would be close to one boundary, the flow distribution will be more affected in the closer boundary and more homogeneous in the further boundary. </w:t>
      </w:r>
      <w:r w:rsidR="00BB611A">
        <w:t>However, the total flow will be always the same in both boundar</w:t>
      </w:r>
      <w:r w:rsidR="0051219D">
        <w:t>ies</w:t>
      </w:r>
      <w:r w:rsidR="00BB611A">
        <w:t xml:space="preserve"> because this is the definition of the </w:t>
      </w:r>
      <w:proofErr w:type="gramStart"/>
      <w:r w:rsidR="00BB611A">
        <w:t>steady</w:t>
      </w:r>
      <w:r w:rsidR="0051219D">
        <w:t>-</w:t>
      </w:r>
      <w:r w:rsidR="00BB611A">
        <w:t>state</w:t>
      </w:r>
      <w:proofErr w:type="gramEnd"/>
      <w:r w:rsidR="00BB611A">
        <w:t xml:space="preserve"> that we are using to solve the system.</w:t>
      </w:r>
    </w:p>
    <w:p w14:paraId="6F9AB8D0" w14:textId="79BFC239" w:rsidR="00223A32" w:rsidRDefault="00704232" w:rsidP="00704232">
      <w:pPr>
        <w:pStyle w:val="Body"/>
        <w:ind w:firstLine="0"/>
        <w:jc w:val="center"/>
      </w:pPr>
      <w:r>
        <w:rPr>
          <w:noProof/>
        </w:rPr>
        <w:drawing>
          <wp:inline distT="0" distB="0" distL="0" distR="0" wp14:anchorId="3D42CB48" wp14:editId="5B4AC4CF">
            <wp:extent cx="3240000" cy="2240597"/>
            <wp:effectExtent l="0" t="0" r="0" b="7620"/>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240000" cy="2240597"/>
                    </a:xfrm>
                    <a:prstGeom prst="rect">
                      <a:avLst/>
                    </a:prstGeom>
                  </pic:spPr>
                </pic:pic>
              </a:graphicData>
            </a:graphic>
          </wp:inline>
        </w:drawing>
      </w:r>
    </w:p>
    <w:p w14:paraId="4C8AEB6F" w14:textId="5799CD20" w:rsidR="00BB611A" w:rsidRDefault="00BB611A" w:rsidP="00704232">
      <w:pPr>
        <w:pStyle w:val="Body"/>
        <w:ind w:firstLine="0"/>
        <w:jc w:val="center"/>
      </w:pPr>
      <w:r>
        <w:t>Figure 1. Flow distribution in both boundary conditions.</w:t>
      </w:r>
    </w:p>
    <w:p w14:paraId="425F1C5E" w14:textId="55D01086" w:rsidR="00BB611A" w:rsidRDefault="00BB611A" w:rsidP="00704232">
      <w:pPr>
        <w:pStyle w:val="Body"/>
        <w:ind w:firstLine="0"/>
        <w:jc w:val="center"/>
      </w:pPr>
    </w:p>
    <w:p w14:paraId="2A16BE5F" w14:textId="7568ABAA" w:rsidR="00BB611A" w:rsidRDefault="00BB611A" w:rsidP="00BB611A">
      <w:pPr>
        <w:pStyle w:val="Body"/>
        <w:numPr>
          <w:ilvl w:val="0"/>
          <w:numId w:val="1"/>
        </w:numPr>
        <w:ind w:left="851" w:hanging="851"/>
        <w:rPr>
          <w:b/>
          <w:bCs/>
        </w:rPr>
      </w:pPr>
      <w:r w:rsidRPr="00BB611A">
        <w:rPr>
          <w:b/>
          <w:bCs/>
        </w:rPr>
        <w:t>Add a plot of the left-to-right flow along a line that passes through the center of the inclusion. What can you learn from comparing this distribution to that seen on the boundaries?</w:t>
      </w:r>
    </w:p>
    <w:p w14:paraId="4B8E8CAC" w14:textId="70734A3B" w:rsidR="00BB611A" w:rsidRDefault="00BB611A" w:rsidP="00BB611A">
      <w:pPr>
        <w:pStyle w:val="Body"/>
      </w:pPr>
      <w:r>
        <w:t xml:space="preserve">Firstly, we can watch a big </w:t>
      </w:r>
      <w:r w:rsidR="000C70C7">
        <w:t>difference</w:t>
      </w:r>
      <w:r>
        <w:t xml:space="preserve"> in the magnitude of the flow</w:t>
      </w:r>
      <w:r w:rsidR="000C70C7">
        <w:t xml:space="preserve"> between the center and boundary</w:t>
      </w:r>
      <w:r>
        <w:t>. The range in the boundaries is low</w:t>
      </w:r>
      <w:r w:rsidR="000C70C7">
        <w:t>,</w:t>
      </w:r>
      <w:r>
        <w:t xml:space="preserve"> showing a smoother effect of the inclusion. </w:t>
      </w:r>
      <w:r w:rsidR="000C70C7">
        <w:t>Secondly, i</w:t>
      </w:r>
      <w:r>
        <w:t xml:space="preserve">n the centerline, the flow </w:t>
      </w:r>
      <w:r w:rsidR="000C70C7">
        <w:t>near</w:t>
      </w:r>
      <w:r>
        <w:t xml:space="preserve"> the inclusion increase</w:t>
      </w:r>
      <w:r w:rsidR="0051219D">
        <w:t>s</w:t>
      </w:r>
      <w:r>
        <w:t xml:space="preserve"> the speed because some </w:t>
      </w:r>
      <w:r>
        <w:lastRenderedPageBreak/>
        <w:t>flow is trying to avoid the inclusion moving up or down of that.</w:t>
      </w:r>
      <w:r w:rsidR="000C70C7">
        <w:t xml:space="preserve"> However, not all the flow takes that option because</w:t>
      </w:r>
      <w:r w:rsidR="0051219D">
        <w:t>,</w:t>
      </w:r>
      <w:r w:rsidR="000C70C7">
        <w:t xml:space="preserve"> despite the low K of the inclusion, the energy loss close of the inclusion is high</w:t>
      </w:r>
      <w:r>
        <w:t xml:space="preserve"> </w:t>
      </w:r>
      <w:r w:rsidR="000C70C7">
        <w:t>(higher speed) which is comparable with the loss given the low K, therefore some flow lines go</w:t>
      </w:r>
      <w:r>
        <w:t xml:space="preserve"> </w:t>
      </w:r>
      <w:r w:rsidR="000C70C7">
        <w:t>through the inclusion anyway. Finally, in the center of the inclusion the flow is higher than the border of the inclusion, that happens because in the center the system is in perfect symmetry. The</w:t>
      </w:r>
      <w:r w:rsidR="007F2CC3">
        <w:t xml:space="preserve">refore, the flow moves in a straight line from left to right. However, the flow that is immediately upper or lower feels a small gradient up or down, which is expressed in less flow in these cells. </w:t>
      </w:r>
    </w:p>
    <w:p w14:paraId="7294EC6D" w14:textId="6A77383F" w:rsidR="00BB611A" w:rsidRDefault="00BB611A" w:rsidP="007F2CC3">
      <w:pPr>
        <w:pStyle w:val="Body"/>
        <w:ind w:firstLine="0"/>
        <w:jc w:val="center"/>
      </w:pPr>
      <w:r>
        <w:rPr>
          <w:noProof/>
        </w:rPr>
        <w:drawing>
          <wp:inline distT="0" distB="0" distL="0" distR="0" wp14:anchorId="2196484F" wp14:editId="51454BBB">
            <wp:extent cx="3240000" cy="2333472"/>
            <wp:effectExtent l="0" t="0" r="0" b="0"/>
            <wp:docPr id="2"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líneas&#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240000" cy="2333472"/>
                    </a:xfrm>
                    <a:prstGeom prst="rect">
                      <a:avLst/>
                    </a:prstGeom>
                  </pic:spPr>
                </pic:pic>
              </a:graphicData>
            </a:graphic>
          </wp:inline>
        </w:drawing>
      </w:r>
    </w:p>
    <w:p w14:paraId="28528729" w14:textId="1EF3BEF0" w:rsidR="007F2CC3" w:rsidRDefault="007F2CC3" w:rsidP="007F2CC3">
      <w:pPr>
        <w:pStyle w:val="Body"/>
        <w:ind w:firstLine="0"/>
        <w:jc w:val="center"/>
      </w:pPr>
      <w:r>
        <w:t xml:space="preserve">Figure </w:t>
      </w:r>
      <w:r>
        <w:t>2</w:t>
      </w:r>
      <w:r>
        <w:t>. Flow distribution in boundar</w:t>
      </w:r>
      <w:r>
        <w:t>ies and center</w:t>
      </w:r>
      <w:r>
        <w:t>.</w:t>
      </w:r>
    </w:p>
    <w:p w14:paraId="7AB5B7A1" w14:textId="19DF92D2" w:rsidR="007F2CC3" w:rsidRDefault="007F2CC3" w:rsidP="007F2CC3">
      <w:pPr>
        <w:pStyle w:val="Body"/>
        <w:jc w:val="center"/>
      </w:pPr>
    </w:p>
    <w:p w14:paraId="1FC6F9BC" w14:textId="2D4C96CD" w:rsidR="007D3533" w:rsidRDefault="007D3533" w:rsidP="007D3533">
      <w:pPr>
        <w:pStyle w:val="Body"/>
        <w:numPr>
          <w:ilvl w:val="0"/>
          <w:numId w:val="1"/>
        </w:numPr>
        <w:ind w:left="851" w:hanging="851"/>
        <w:rPr>
          <w:b/>
          <w:bCs/>
        </w:rPr>
      </w:pPr>
      <w:r w:rsidRPr="007D3533">
        <w:rPr>
          <w:b/>
          <w:bCs/>
        </w:rPr>
        <w:t>Calculate the total flow into (and out of) the domain. Use this to calculate the Keq of the heterogeneous system with the K values as given in the starter code. Repeat this calculation for the following K values for the inclusion (keeping the background K as it is given): 0.01, 0.1, 1, 10, 100. Compare the Keq to the harmonic and arithmetic mean K values based on the area occupied by each medium (rather than the length for a 1D system). Can you draw any general conclusions about the impact of high or low K heterogeneities on the equivalent K for the flow system examined?</w:t>
      </w:r>
    </w:p>
    <w:p w14:paraId="6E41F7BC" w14:textId="5101C5AD" w:rsidR="007D3533" w:rsidRDefault="00A86057" w:rsidP="007D3533">
      <w:pPr>
        <w:pStyle w:val="Body"/>
      </w:pPr>
      <w:r>
        <w:t>Two thoughts emerge from this exercise. The first is that inclusion</w:t>
      </w:r>
      <w:r w:rsidR="0051219D">
        <w:t>s</w:t>
      </w:r>
      <w:r>
        <w:t xml:space="preserve"> with low K ha</w:t>
      </w:r>
      <w:r w:rsidR="0051219D">
        <w:t>ve</w:t>
      </w:r>
      <w:r>
        <w:t xml:space="preserve"> a behavior more </w:t>
      </w:r>
      <w:proofErr w:type="gramStart"/>
      <w:r>
        <w:t>similar to</w:t>
      </w:r>
      <w:proofErr w:type="gramEnd"/>
      <w:r>
        <w:t xml:space="preserve"> the arithmetic mean and a high K inclusion has a Keq more similar to the Harmonic mean. </w:t>
      </w:r>
      <w:r w:rsidR="00B5527E">
        <w:t>However, the arithmetic mean is representative of a</w:t>
      </w:r>
      <w:r w:rsidR="0051219D">
        <w:t>n</w:t>
      </w:r>
      <w:r w:rsidR="00B5527E">
        <w:t xml:space="preserve"> in parallel flow and </w:t>
      </w:r>
      <w:r w:rsidR="0051219D">
        <w:t xml:space="preserve">the </w:t>
      </w:r>
      <w:r w:rsidR="00B5527E">
        <w:t>Harmonic mean represents a</w:t>
      </w:r>
      <w:r w:rsidR="0051219D">
        <w:t>n</w:t>
      </w:r>
      <w:r w:rsidR="00B5527E">
        <w:t xml:space="preserve"> </w:t>
      </w:r>
      <w:proofErr w:type="gramStart"/>
      <w:r w:rsidR="00B5527E">
        <w:t>in series</w:t>
      </w:r>
      <w:proofErr w:type="gramEnd"/>
      <w:r w:rsidR="00B5527E">
        <w:t xml:space="preserve"> flow. That means that for low K the water mainly follows two paths, </w:t>
      </w:r>
      <w:r w:rsidR="0051219D">
        <w:t>which</w:t>
      </w:r>
      <w:r w:rsidR="00B5527E">
        <w:t xml:space="preserve"> means that the higher K controls the Keq. In the other case, when we have a higher K the flow mainly goes through one path (the center) which mean</w:t>
      </w:r>
      <w:r w:rsidR="0051219D">
        <w:t>s</w:t>
      </w:r>
      <w:r w:rsidR="00B5527E">
        <w:t xml:space="preserve"> that the low K control</w:t>
      </w:r>
      <w:r w:rsidR="0051219D">
        <w:t>s</w:t>
      </w:r>
      <w:r w:rsidR="00B5527E">
        <w:t xml:space="preserve"> the Keq. That analysis is consistent with the flow line generated in each </w:t>
      </w:r>
      <w:r w:rsidR="00541F73">
        <w:t>iteration</w:t>
      </w:r>
      <w:r w:rsidR="00B5527E">
        <w:t>.</w:t>
      </w:r>
    </w:p>
    <w:p w14:paraId="008D0BC5" w14:textId="76461288" w:rsidR="00541F73" w:rsidRDefault="00B5527E" w:rsidP="007D3533">
      <w:pPr>
        <w:pStyle w:val="Body"/>
      </w:pPr>
      <w:r>
        <w:t>The second thought is a</w:t>
      </w:r>
      <w:r w:rsidR="00541F73">
        <w:t>n</w:t>
      </w:r>
      <w:r>
        <w:t xml:space="preserve"> extrapolation </w:t>
      </w:r>
      <w:r w:rsidR="00541F73">
        <w:t>to the real wor</w:t>
      </w:r>
      <w:r w:rsidR="0051219D">
        <w:t>l</w:t>
      </w:r>
      <w:r w:rsidR="00541F73">
        <w:t xml:space="preserve">d. Given that we never will know completely the spatial distribution of K, we can assume that the existence of inclusions </w:t>
      </w:r>
      <w:r w:rsidR="00541F73">
        <w:lastRenderedPageBreak/>
        <w:t xml:space="preserve">in the soil does not affect drastically the total flow. Therefore, we must be worry mainly </w:t>
      </w:r>
      <w:r w:rsidR="0051219D">
        <w:t>about</w:t>
      </w:r>
      <w:r w:rsidR="00541F73">
        <w:t xml:space="preserve"> collecting enough samples to know the K that has more presence in the soil, because that will control the total flow in the system. However, that conclusion must be confirmed in class.</w:t>
      </w:r>
    </w:p>
    <w:p w14:paraId="79D1BF35" w14:textId="382875F5" w:rsidR="007D3533" w:rsidRDefault="007D3533" w:rsidP="00253BA1">
      <w:pPr>
        <w:pStyle w:val="Body"/>
        <w:ind w:firstLine="0"/>
        <w:jc w:val="center"/>
      </w:pPr>
      <w:r>
        <w:rPr>
          <w:noProof/>
        </w:rPr>
        <w:drawing>
          <wp:inline distT="0" distB="0" distL="0" distR="0" wp14:anchorId="3A58270D" wp14:editId="4FA1C013">
            <wp:extent cx="3600000" cy="2171901"/>
            <wp:effectExtent l="0" t="0" r="635" b="0"/>
            <wp:docPr id="3" name="Imagen 3"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dispersión&#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600000" cy="2171901"/>
                    </a:xfrm>
                    <a:prstGeom prst="rect">
                      <a:avLst/>
                    </a:prstGeom>
                  </pic:spPr>
                </pic:pic>
              </a:graphicData>
            </a:graphic>
          </wp:inline>
        </w:drawing>
      </w:r>
    </w:p>
    <w:p w14:paraId="1A17CD1B" w14:textId="54E65109" w:rsidR="00253BA1" w:rsidRDefault="00253BA1" w:rsidP="00253BA1">
      <w:pPr>
        <w:pStyle w:val="Body"/>
        <w:ind w:firstLine="0"/>
        <w:jc w:val="center"/>
      </w:pPr>
      <w:r>
        <w:t xml:space="preserve">Figure </w:t>
      </w:r>
      <w:r w:rsidR="002B662B">
        <w:t>3</w:t>
      </w:r>
      <w:r>
        <w:t xml:space="preserve">. </w:t>
      </w:r>
      <w:r w:rsidR="002B662B">
        <w:t>Comparison between Keq and K with arithmetic mean</w:t>
      </w:r>
      <w:r>
        <w:t>.</w:t>
      </w:r>
    </w:p>
    <w:p w14:paraId="6A64C623" w14:textId="54335072" w:rsidR="007D3533" w:rsidRDefault="007D3533" w:rsidP="007D3533">
      <w:pPr>
        <w:pStyle w:val="Body"/>
      </w:pPr>
    </w:p>
    <w:p w14:paraId="4FA21428" w14:textId="48976221" w:rsidR="007D3533" w:rsidRDefault="007D3533" w:rsidP="00253BA1">
      <w:pPr>
        <w:pStyle w:val="Body"/>
        <w:ind w:firstLine="0"/>
        <w:jc w:val="center"/>
        <w:rPr>
          <w:noProof/>
        </w:rPr>
      </w:pPr>
      <w:r>
        <w:rPr>
          <w:noProof/>
        </w:rPr>
        <w:drawing>
          <wp:inline distT="0" distB="0" distL="0" distR="0" wp14:anchorId="7A806870" wp14:editId="3297EC58">
            <wp:extent cx="3600000" cy="2156436"/>
            <wp:effectExtent l="0" t="0" r="635" b="0"/>
            <wp:docPr id="4" name="Imagen 4"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dispersión&#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600000" cy="2156436"/>
                    </a:xfrm>
                    <a:prstGeom prst="rect">
                      <a:avLst/>
                    </a:prstGeom>
                  </pic:spPr>
                </pic:pic>
              </a:graphicData>
            </a:graphic>
          </wp:inline>
        </w:drawing>
      </w:r>
    </w:p>
    <w:p w14:paraId="74297120" w14:textId="15CA3A13" w:rsidR="002B662B" w:rsidRDefault="002B662B" w:rsidP="002B662B">
      <w:pPr>
        <w:pStyle w:val="Body"/>
        <w:ind w:firstLine="0"/>
        <w:jc w:val="center"/>
      </w:pPr>
      <w:r>
        <w:t xml:space="preserve">Figure </w:t>
      </w:r>
      <w:r>
        <w:t>4</w:t>
      </w:r>
      <w:r>
        <w:t xml:space="preserve">. Comparison between Keq and K with </w:t>
      </w:r>
      <w:r>
        <w:t>harmonic</w:t>
      </w:r>
      <w:r>
        <w:t xml:space="preserve"> mean.</w:t>
      </w:r>
    </w:p>
    <w:p w14:paraId="0A22B203" w14:textId="7013DF06" w:rsidR="002B662B" w:rsidRDefault="002B662B" w:rsidP="002B662B">
      <w:pPr>
        <w:pStyle w:val="Body"/>
        <w:ind w:firstLine="0"/>
        <w:jc w:val="center"/>
      </w:pPr>
    </w:p>
    <w:p w14:paraId="455FE363" w14:textId="5A3FC963" w:rsidR="002B662B" w:rsidRDefault="002B662B" w:rsidP="002B662B">
      <w:pPr>
        <w:pStyle w:val="Body"/>
        <w:numPr>
          <w:ilvl w:val="0"/>
          <w:numId w:val="1"/>
        </w:numPr>
        <w:ind w:left="851" w:hanging="851"/>
        <w:rPr>
          <w:b/>
          <w:bCs/>
        </w:rPr>
      </w:pPr>
      <w:r w:rsidRPr="002B662B">
        <w:rPr>
          <w:b/>
          <w:bCs/>
        </w:rPr>
        <w:t>Does the equipotential distribution depend on the absolute or relative K values for the background and the inclusion? How would you use the model to test your answer?</w:t>
      </w:r>
    </w:p>
    <w:p w14:paraId="31104DAB" w14:textId="2EE83C1E" w:rsidR="007D3533" w:rsidRPr="00BB611A" w:rsidRDefault="00E04FC7" w:rsidP="007D3533">
      <w:pPr>
        <w:pStyle w:val="Body"/>
      </w:pPr>
      <w:r w:rsidRPr="00E04FC7">
        <w:t>T</w:t>
      </w:r>
      <w:r>
        <w:t>h</w:t>
      </w:r>
      <w:r w:rsidRPr="00E04FC7">
        <w:t>e</w:t>
      </w:r>
      <w:r>
        <w:t xml:space="preserve"> equipotential or flow distribution depends on the spatial distribution of K. For that reason, the amplification of the same K distribution for a factor does not affect the equipotential. The value that is amplified is the total flow. To test that hypothesis, I ran the </w:t>
      </w:r>
      <w:r>
        <w:lastRenderedPageBreak/>
        <w:t>model amplifying the background and inclusion K for the same factor. The results were the same equipotential distribution in all the cases (factors higher than 1 and lower).</w:t>
      </w:r>
    </w:p>
    <w:sectPr w:rsidR="007D3533" w:rsidRPr="00BB611A" w:rsidSect="00F71FA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DC0E33" w14:textId="77777777" w:rsidR="006844A1" w:rsidRDefault="006844A1" w:rsidP="00EB6542">
      <w:pPr>
        <w:spacing w:after="0" w:line="240" w:lineRule="auto"/>
      </w:pPr>
      <w:r>
        <w:separator/>
      </w:r>
    </w:p>
  </w:endnote>
  <w:endnote w:type="continuationSeparator" w:id="0">
    <w:p w14:paraId="1C8E89A0" w14:textId="77777777" w:rsidR="006844A1" w:rsidRDefault="006844A1" w:rsidP="00EB6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797689" w14:textId="77777777" w:rsidR="006844A1" w:rsidRDefault="006844A1" w:rsidP="00EB6542">
      <w:pPr>
        <w:spacing w:after="0" w:line="240" w:lineRule="auto"/>
      </w:pPr>
      <w:r>
        <w:separator/>
      </w:r>
    </w:p>
  </w:footnote>
  <w:footnote w:type="continuationSeparator" w:id="0">
    <w:p w14:paraId="6715AFAB" w14:textId="77777777" w:rsidR="006844A1" w:rsidRDefault="006844A1" w:rsidP="00EB65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31E97"/>
    <w:multiLevelType w:val="hybridMultilevel"/>
    <w:tmpl w:val="942CFA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BBD5704"/>
    <w:multiLevelType w:val="hybridMultilevel"/>
    <w:tmpl w:val="0D9450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0NDU3NTW2NLW0NDNT0lEKTi0uzszPAykwrwUArzMxvCwAAAA="/>
  </w:docVars>
  <w:rsids>
    <w:rsidRoot w:val="00557461"/>
    <w:rsid w:val="00040D5C"/>
    <w:rsid w:val="00072B65"/>
    <w:rsid w:val="000C70C7"/>
    <w:rsid w:val="000E54FE"/>
    <w:rsid w:val="000E6894"/>
    <w:rsid w:val="00107DB6"/>
    <w:rsid w:val="001223A9"/>
    <w:rsid w:val="001A7109"/>
    <w:rsid w:val="001C38DC"/>
    <w:rsid w:val="001F0383"/>
    <w:rsid w:val="00223A32"/>
    <w:rsid w:val="00246DD2"/>
    <w:rsid w:val="00253BA1"/>
    <w:rsid w:val="00261195"/>
    <w:rsid w:val="00264ADF"/>
    <w:rsid w:val="002A1E92"/>
    <w:rsid w:val="002B662B"/>
    <w:rsid w:val="002E4CFA"/>
    <w:rsid w:val="003115CE"/>
    <w:rsid w:val="00340F21"/>
    <w:rsid w:val="003C1C26"/>
    <w:rsid w:val="003D44B8"/>
    <w:rsid w:val="003E52E3"/>
    <w:rsid w:val="00473B62"/>
    <w:rsid w:val="00490EC8"/>
    <w:rsid w:val="0051219D"/>
    <w:rsid w:val="00541F73"/>
    <w:rsid w:val="00554676"/>
    <w:rsid w:val="00557461"/>
    <w:rsid w:val="005E4D49"/>
    <w:rsid w:val="005E7ABB"/>
    <w:rsid w:val="006124FA"/>
    <w:rsid w:val="00632384"/>
    <w:rsid w:val="00644BE1"/>
    <w:rsid w:val="0067118E"/>
    <w:rsid w:val="006844A1"/>
    <w:rsid w:val="00686B26"/>
    <w:rsid w:val="006B5953"/>
    <w:rsid w:val="00704232"/>
    <w:rsid w:val="00736091"/>
    <w:rsid w:val="00741AB5"/>
    <w:rsid w:val="00770CFE"/>
    <w:rsid w:val="00793A87"/>
    <w:rsid w:val="007A1185"/>
    <w:rsid w:val="007D3533"/>
    <w:rsid w:val="007F2CC3"/>
    <w:rsid w:val="00830A78"/>
    <w:rsid w:val="00845051"/>
    <w:rsid w:val="008B6EA0"/>
    <w:rsid w:val="008E63AF"/>
    <w:rsid w:val="00980198"/>
    <w:rsid w:val="00995403"/>
    <w:rsid w:val="009E1A4E"/>
    <w:rsid w:val="009F3B68"/>
    <w:rsid w:val="00A86057"/>
    <w:rsid w:val="00AF7A35"/>
    <w:rsid w:val="00B11028"/>
    <w:rsid w:val="00B5527E"/>
    <w:rsid w:val="00BB611A"/>
    <w:rsid w:val="00C57558"/>
    <w:rsid w:val="00CA6D23"/>
    <w:rsid w:val="00CB2C15"/>
    <w:rsid w:val="00CC4602"/>
    <w:rsid w:val="00D1004D"/>
    <w:rsid w:val="00D101C8"/>
    <w:rsid w:val="00D24C12"/>
    <w:rsid w:val="00D56464"/>
    <w:rsid w:val="00D87CAA"/>
    <w:rsid w:val="00DB18D4"/>
    <w:rsid w:val="00E04FC7"/>
    <w:rsid w:val="00E405EB"/>
    <w:rsid w:val="00E41A17"/>
    <w:rsid w:val="00E75E9B"/>
    <w:rsid w:val="00EA3790"/>
    <w:rsid w:val="00EA387D"/>
    <w:rsid w:val="00EB6542"/>
    <w:rsid w:val="00F71FA7"/>
    <w:rsid w:val="00FD2867"/>
    <w:rsid w:val="00FD688D"/>
    <w:rsid w:val="00FF104D"/>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28F01"/>
  <w15:chartTrackingRefBased/>
  <w15:docId w15:val="{EC113DB8-3C27-4077-85E2-949701901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ody">
    <w:name w:val="Body"/>
    <w:basedOn w:val="Normal"/>
    <w:link w:val="BodyChar"/>
    <w:qFormat/>
    <w:rsid w:val="00741AB5"/>
    <w:pPr>
      <w:spacing w:before="240" w:after="240" w:line="240" w:lineRule="auto"/>
      <w:ind w:firstLine="720"/>
      <w:jc w:val="both"/>
    </w:pPr>
    <w:rPr>
      <w:rFonts w:ascii="Times New Roman" w:hAnsi="Times New Roman"/>
      <w:color w:val="000000" w:themeColor="text1"/>
      <w:sz w:val="24"/>
    </w:rPr>
  </w:style>
  <w:style w:type="character" w:customStyle="1" w:styleId="BodyChar">
    <w:name w:val="Body Char"/>
    <w:basedOn w:val="Fuentedeprrafopredeter"/>
    <w:link w:val="Body"/>
    <w:rsid w:val="00741AB5"/>
    <w:rPr>
      <w:rFonts w:ascii="Times New Roman" w:hAnsi="Times New Roman"/>
      <w:color w:val="000000" w:themeColor="text1"/>
      <w:sz w:val="24"/>
    </w:rPr>
  </w:style>
  <w:style w:type="paragraph" w:styleId="Textonotapie">
    <w:name w:val="footnote text"/>
    <w:basedOn w:val="Normal"/>
    <w:link w:val="TextonotapieCar"/>
    <w:uiPriority w:val="99"/>
    <w:semiHidden/>
    <w:unhideWhenUsed/>
    <w:rsid w:val="00EB654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B6542"/>
    <w:rPr>
      <w:sz w:val="20"/>
      <w:szCs w:val="20"/>
    </w:rPr>
  </w:style>
  <w:style w:type="character" w:styleId="Refdenotaalpie">
    <w:name w:val="footnote reference"/>
    <w:basedOn w:val="Fuentedeprrafopredeter"/>
    <w:uiPriority w:val="99"/>
    <w:semiHidden/>
    <w:unhideWhenUsed/>
    <w:rsid w:val="00EB6542"/>
    <w:rPr>
      <w:vertAlign w:val="superscript"/>
    </w:rPr>
  </w:style>
  <w:style w:type="character" w:styleId="Hipervnculo">
    <w:name w:val="Hyperlink"/>
    <w:basedOn w:val="Fuentedeprrafopredeter"/>
    <w:uiPriority w:val="99"/>
    <w:unhideWhenUsed/>
    <w:rsid w:val="00EB6542"/>
    <w:rPr>
      <w:color w:val="0563C1" w:themeColor="hyperlink"/>
      <w:u w:val="single"/>
    </w:rPr>
  </w:style>
  <w:style w:type="character" w:styleId="Mencinsinresolver">
    <w:name w:val="Unresolved Mention"/>
    <w:basedOn w:val="Fuentedeprrafopredeter"/>
    <w:uiPriority w:val="99"/>
    <w:semiHidden/>
    <w:unhideWhenUsed/>
    <w:rsid w:val="00EB6542"/>
    <w:rPr>
      <w:color w:val="605E5C"/>
      <w:shd w:val="clear" w:color="auto" w:fill="E1DFDD"/>
    </w:rPr>
  </w:style>
  <w:style w:type="paragraph" w:styleId="NormalWeb">
    <w:name w:val="Normal (Web)"/>
    <w:basedOn w:val="Normal"/>
    <w:uiPriority w:val="99"/>
    <w:semiHidden/>
    <w:unhideWhenUsed/>
    <w:rsid w:val="007D35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31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39D3D-A87C-4AB1-9A70-122B49116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3351</TotalTime>
  <Pages>4</Pages>
  <Words>685</Words>
  <Characters>3910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la Fuente, Luis Andres - (ldelafue)</dc:creator>
  <cp:keywords/>
  <dc:description/>
  <cp:lastModifiedBy>De la Fuente, Luis Andres - (ldelafue)</cp:lastModifiedBy>
  <cp:revision>23</cp:revision>
  <dcterms:created xsi:type="dcterms:W3CDTF">2021-01-14T16:35:00Z</dcterms:created>
  <dcterms:modified xsi:type="dcterms:W3CDTF">2021-02-02T05:57:00Z</dcterms:modified>
</cp:coreProperties>
</file>