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0B18" w14:textId="6DAFB929" w:rsidR="00D8681B" w:rsidRDefault="00C21E06" w:rsidP="009431CA">
      <w:pPr>
        <w:jc w:val="center"/>
      </w:pPr>
      <w:r>
        <w:t xml:space="preserve">Conceptual model of homogenous </w:t>
      </w:r>
      <w:r w:rsidR="009431CA">
        <w:t>MODFLOW</w:t>
      </w:r>
      <w:r>
        <w:t xml:space="preserve"> scenario with k=1</w:t>
      </w:r>
      <w:r w:rsidR="009431CA">
        <w:t>m/day</w:t>
      </w:r>
      <w:r>
        <w:t xml:space="preserve"> everywhere</w:t>
      </w:r>
    </w:p>
    <w:p w14:paraId="751BABB3" w14:textId="744DA51F" w:rsidR="00C308A8" w:rsidRDefault="00C308A8" w:rsidP="009431CA">
      <w:pPr>
        <w:jc w:val="center"/>
      </w:pPr>
    </w:p>
    <w:p w14:paraId="33DC6917" w14:textId="6DBF13A3" w:rsidR="00FC6CA5" w:rsidRDefault="00C21E06" w:rsidP="009431CA">
      <w:pPr>
        <w:jc w:val="center"/>
      </w:pPr>
      <w:r>
        <w:rPr>
          <w:noProof/>
        </w:rPr>
        <w:drawing>
          <wp:inline distT="0" distB="0" distL="0" distR="0" wp14:anchorId="06488C18" wp14:editId="0847EA0E">
            <wp:extent cx="5226080" cy="412838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49" cy="41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3B9E" w14:textId="77777777" w:rsidR="00FC6CA5" w:rsidRDefault="00FC6CA5" w:rsidP="009431CA">
      <w:pPr>
        <w:jc w:val="center"/>
      </w:pPr>
    </w:p>
    <w:p w14:paraId="3D283432" w14:textId="77777777" w:rsidR="00FC6CA5" w:rsidRDefault="00FC6CA5" w:rsidP="009431CA">
      <w:pPr>
        <w:jc w:val="center"/>
      </w:pPr>
    </w:p>
    <w:p w14:paraId="5279F151" w14:textId="7EF5F796" w:rsidR="00FC6CA5" w:rsidRDefault="00FC6CA5" w:rsidP="009431CA">
      <w:pPr>
        <w:jc w:val="center"/>
      </w:pPr>
      <w:r>
        <w:t>Conceptual cross-sectional view:</w:t>
      </w:r>
    </w:p>
    <w:p w14:paraId="3849AFF1" w14:textId="77777777" w:rsidR="00FC6CA5" w:rsidRDefault="00FC6CA5" w:rsidP="009431CA">
      <w:pPr>
        <w:jc w:val="center"/>
      </w:pPr>
    </w:p>
    <w:p w14:paraId="69C12C58" w14:textId="095F4AF7" w:rsidR="00C308A8" w:rsidRDefault="00FC6CA5" w:rsidP="009431CA">
      <w:pPr>
        <w:jc w:val="center"/>
      </w:pPr>
      <w:r>
        <w:rPr>
          <w:noProof/>
        </w:rPr>
        <w:drawing>
          <wp:inline distT="0" distB="0" distL="0" distR="0" wp14:anchorId="1CEF43C8" wp14:editId="49EAD827">
            <wp:extent cx="3856776" cy="2915216"/>
            <wp:effectExtent l="0" t="0" r="1714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4D5AFCB-1E92-9E4D-945B-E338894FD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B3CA20" w14:textId="055E1242" w:rsidR="00C308A8" w:rsidRDefault="00C308A8" w:rsidP="009431CA">
      <w:pPr>
        <w:jc w:val="center"/>
      </w:pPr>
    </w:p>
    <w:p w14:paraId="04EF1F49" w14:textId="648FD490" w:rsidR="00C308A8" w:rsidRDefault="00C308A8" w:rsidP="009431CA">
      <w:pPr>
        <w:jc w:val="center"/>
      </w:pPr>
    </w:p>
    <w:p w14:paraId="7CDA761F" w14:textId="63F26CFC" w:rsidR="00C308A8" w:rsidRDefault="00C308A8" w:rsidP="009431CA">
      <w:pPr>
        <w:jc w:val="center"/>
      </w:pPr>
    </w:p>
    <w:p w14:paraId="664BE4C6" w14:textId="77777777" w:rsidR="00C308A8" w:rsidRDefault="00C308A8" w:rsidP="009431CA">
      <w:pPr>
        <w:jc w:val="center"/>
      </w:pPr>
    </w:p>
    <w:p w14:paraId="6D1B9A62" w14:textId="73E8A52F" w:rsidR="00D8681B" w:rsidRDefault="007B1B3E" w:rsidP="009431CA">
      <w:pPr>
        <w:jc w:val="center"/>
      </w:pPr>
      <w:r>
        <w:rPr>
          <w:noProof/>
        </w:rPr>
        <w:drawing>
          <wp:inline distT="0" distB="0" distL="0" distR="0" wp14:anchorId="3F15EEF1" wp14:editId="1D43AEE3">
            <wp:extent cx="4789283" cy="4025351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57" cy="40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5823" w14:textId="77777777" w:rsidR="00D8681B" w:rsidRDefault="00D8681B" w:rsidP="009431CA">
      <w:pPr>
        <w:jc w:val="center"/>
      </w:pPr>
    </w:p>
    <w:p w14:paraId="4DC0C7FB" w14:textId="567493EC" w:rsidR="00D8681B" w:rsidRDefault="00FC6CA5" w:rsidP="009431CA">
      <w:pPr>
        <w:jc w:val="center"/>
      </w:pPr>
      <w:r>
        <w:t xml:space="preserve">Homogenous </w:t>
      </w:r>
      <w:r w:rsidR="009431CA">
        <w:t>scenario with k = 1m/day everywhere, constant head boundary of 15m on the left and 10m on the right.</w:t>
      </w:r>
    </w:p>
    <w:p w14:paraId="649BC83C" w14:textId="6E252C4A" w:rsidR="00C051A2" w:rsidRDefault="00FB6A15" w:rsidP="009431CA">
      <w:pPr>
        <w:jc w:val="center"/>
      </w:pPr>
      <w:r>
        <w:rPr>
          <w:noProof/>
        </w:rPr>
        <w:lastRenderedPageBreak/>
        <w:drawing>
          <wp:inline distT="0" distB="0" distL="0" distR="0" wp14:anchorId="16968733" wp14:editId="7B089181">
            <wp:extent cx="4826442" cy="3379304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A18576-632B-544B-85DE-9BCB8C9EDF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2100E1" w14:textId="515B9B80" w:rsidR="009431CA" w:rsidRDefault="009431CA" w:rsidP="009431CA">
      <w:pPr>
        <w:jc w:val="center"/>
      </w:pPr>
      <w:r>
        <w:t>Here we have a heterogenous scenario with k =1m/day everywhere except columns                    11,12 k= 10m/day</w:t>
      </w:r>
    </w:p>
    <w:p w14:paraId="30C5D459" w14:textId="30703020" w:rsidR="000B2B2F" w:rsidRDefault="000B2B2F" w:rsidP="009431CA">
      <w:pPr>
        <w:jc w:val="center"/>
      </w:pPr>
    </w:p>
    <w:p w14:paraId="5AF314A3" w14:textId="618FDBF8" w:rsidR="000B2B2F" w:rsidRDefault="00C308A8" w:rsidP="009431CA">
      <w:pPr>
        <w:jc w:val="center"/>
      </w:pPr>
      <w:r>
        <w:rPr>
          <w:noProof/>
        </w:rPr>
        <w:drawing>
          <wp:inline distT="0" distB="0" distL="0" distR="0" wp14:anchorId="2A82504E" wp14:editId="670DFE0F">
            <wp:extent cx="5013703" cy="3594226"/>
            <wp:effectExtent l="0" t="0" r="317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90" cy="36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9854" w14:textId="0F5BB3EA" w:rsidR="009431CA" w:rsidRDefault="009431CA" w:rsidP="009431CA">
      <w:pPr>
        <w:jc w:val="center"/>
      </w:pPr>
      <w:r>
        <w:t>Here is heterogeneous scenario with k values specified in the heading with location.</w:t>
      </w:r>
    </w:p>
    <w:p w14:paraId="4C11D466" w14:textId="39AF6353" w:rsidR="009431CA" w:rsidRDefault="009431CA" w:rsidP="009431CA">
      <w:pPr>
        <w:jc w:val="center"/>
      </w:pPr>
      <w:r>
        <w:t>EDIT: rows 9-13, columns 12-16</w:t>
      </w:r>
    </w:p>
    <w:p w14:paraId="2FBF96E1" w14:textId="77777777" w:rsidR="00FB6A15" w:rsidRDefault="00FB6A15"/>
    <w:sectPr w:rsidR="00FB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5"/>
    <w:rsid w:val="000B2B2F"/>
    <w:rsid w:val="004D7E91"/>
    <w:rsid w:val="006A44D2"/>
    <w:rsid w:val="00736FE5"/>
    <w:rsid w:val="007B1B3E"/>
    <w:rsid w:val="009431CA"/>
    <w:rsid w:val="00BC3E80"/>
    <w:rsid w:val="00C21E06"/>
    <w:rsid w:val="00C308A8"/>
    <w:rsid w:val="00D8681B"/>
    <w:rsid w:val="00DC437C"/>
    <w:rsid w:val="00FB6A15"/>
    <w:rsid w:val="00F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2D1F"/>
  <w15:chartTrackingRefBased/>
  <w15:docId w15:val="{44D8AFEF-D641-9B4B-B60C-9B25629F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am/Downloads/homconmodel-modflow_as_d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dam/Desktop/GW_modeling/homework-adam-stratman/Working/HW2_BoxModel_manual/starter_code/HW_02_visualization_exam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conceptual cross sectional view steady state homogenous k=1m/day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Sheet2!$A$1:$A$27</c:f>
              <c:numCache>
                <c:formatCode>General</c:formatCode>
                <c:ptCount val="2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Sheet2!$B$1:$B$27</c:f>
              <c:numCache>
                <c:formatCode>General</c:formatCode>
                <c:ptCount val="27"/>
                <c:pt idx="0">
                  <c:v>15</c:v>
                </c:pt>
                <c:pt idx="1">
                  <c:v>14.79</c:v>
                </c:pt>
                <c:pt idx="2">
                  <c:v>14.58</c:v>
                </c:pt>
                <c:pt idx="3">
                  <c:v>14.38</c:v>
                </c:pt>
                <c:pt idx="4">
                  <c:v>14.17</c:v>
                </c:pt>
                <c:pt idx="5">
                  <c:v>13.96</c:v>
                </c:pt>
                <c:pt idx="6">
                  <c:v>13.75</c:v>
                </c:pt>
                <c:pt idx="7">
                  <c:v>13.54</c:v>
                </c:pt>
                <c:pt idx="8">
                  <c:v>13.33</c:v>
                </c:pt>
                <c:pt idx="9">
                  <c:v>13.12</c:v>
                </c:pt>
                <c:pt idx="10">
                  <c:v>12.92</c:v>
                </c:pt>
                <c:pt idx="11">
                  <c:v>12.71</c:v>
                </c:pt>
                <c:pt idx="12">
                  <c:v>12.5</c:v>
                </c:pt>
                <c:pt idx="13">
                  <c:v>12.29</c:v>
                </c:pt>
                <c:pt idx="14">
                  <c:v>12.08</c:v>
                </c:pt>
                <c:pt idx="15">
                  <c:v>11.88</c:v>
                </c:pt>
                <c:pt idx="16">
                  <c:v>11.67</c:v>
                </c:pt>
                <c:pt idx="17">
                  <c:v>11.46</c:v>
                </c:pt>
                <c:pt idx="18">
                  <c:v>11.25</c:v>
                </c:pt>
                <c:pt idx="19">
                  <c:v>11.04</c:v>
                </c:pt>
                <c:pt idx="20">
                  <c:v>10.83</c:v>
                </c:pt>
                <c:pt idx="21">
                  <c:v>10.62</c:v>
                </c:pt>
                <c:pt idx="22">
                  <c:v>10.42</c:v>
                </c:pt>
                <c:pt idx="23">
                  <c:v>10.210000000000001</c:v>
                </c:pt>
                <c:pt idx="24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65-DA41-8293-D18848428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854319"/>
        <c:axId val="1247988959"/>
      </c:scatterChart>
      <c:valAx>
        <c:axId val="1376854319"/>
        <c:scaling>
          <c:orientation val="minMax"/>
          <c:max val="25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7988959"/>
        <c:crosses val="autoZero"/>
        <c:crossBetween val="midCat"/>
      </c:valAx>
      <c:valAx>
        <c:axId val="1247988959"/>
        <c:scaling>
          <c:orientation val="minMax"/>
          <c:max val="1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854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Head</a:t>
            </a:r>
            <a:r>
              <a:rPr lang="en-US" baseline="0"/>
              <a:t> plot Hereogenous with k=10m/day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heads_1!$B$4</c:f>
              <c:strCache>
                <c:ptCount val="1"/>
                <c:pt idx="0">
                  <c:v>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3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3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3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heads_1!$C$4:$AA$4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74-0E49-A173-44D96973D11E}"/>
            </c:ext>
          </c:extLst>
        </c:ser>
        <c:ser>
          <c:idx val="1"/>
          <c:order val="1"/>
          <c:tx>
            <c:strRef>
              <c:f>heads_1!$B$5</c:f>
              <c:strCache>
                <c:ptCount val="1"/>
                <c:pt idx="0">
                  <c:v>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heads_1!$C$5:$AA$5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74-0E49-A173-44D96973D11E}"/>
            </c:ext>
          </c:extLst>
        </c:ser>
        <c:ser>
          <c:idx val="2"/>
          <c:order val="2"/>
          <c:tx>
            <c:strRef>
              <c:f>heads_1!$B$6</c:f>
              <c:strCache>
                <c:ptCount val="1"/>
                <c:pt idx="0">
                  <c:v>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4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4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4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heads_1!$C$6:$AA$6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74-0E49-A173-44D96973D11E}"/>
            </c:ext>
          </c:extLst>
        </c:ser>
        <c:ser>
          <c:idx val="3"/>
          <c:order val="3"/>
          <c:tx>
            <c:strRef>
              <c:f>heads_1!$B$7</c:f>
              <c:strCache>
                <c:ptCount val="1"/>
                <c:pt idx="0">
                  <c:v>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heads_1!$C$7:$AA$7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74-0E49-A173-44D96973D11E}"/>
            </c:ext>
          </c:extLst>
        </c:ser>
        <c:ser>
          <c:idx val="4"/>
          <c:order val="4"/>
          <c:tx>
            <c:strRef>
              <c:f>heads_1!$B$8</c:f>
              <c:strCache>
                <c:ptCount val="1"/>
                <c:pt idx="0">
                  <c:v>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5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5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5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heads_1!$C$8:$AA$8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F74-0E49-A173-44D96973D11E}"/>
            </c:ext>
          </c:extLst>
        </c:ser>
        <c:ser>
          <c:idx val="5"/>
          <c:order val="5"/>
          <c:tx>
            <c:strRef>
              <c:f>heads_1!$B$9</c:f>
              <c:strCache>
                <c:ptCount val="1"/>
                <c:pt idx="0">
                  <c:v>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heads_1!$C$9:$AA$9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F74-0E49-A173-44D96973D11E}"/>
            </c:ext>
          </c:extLst>
        </c:ser>
        <c:ser>
          <c:idx val="6"/>
          <c:order val="6"/>
          <c:tx>
            <c:strRef>
              <c:f>heads_1!$B$10</c:f>
              <c:strCache>
                <c:ptCount val="1"/>
                <c:pt idx="0">
                  <c:v>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6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6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6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heads_1!$C$10:$AA$10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74-0E49-A173-44D96973D11E}"/>
            </c:ext>
          </c:extLst>
        </c:ser>
        <c:ser>
          <c:idx val="7"/>
          <c:order val="7"/>
          <c:tx>
            <c:strRef>
              <c:f>heads_1!$B$11</c:f>
              <c:strCache>
                <c:ptCount val="1"/>
                <c:pt idx="0">
                  <c:v>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heads_1!$C$11:$AA$11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F74-0E49-A173-44D96973D11E}"/>
            </c:ext>
          </c:extLst>
        </c:ser>
        <c:ser>
          <c:idx val="8"/>
          <c:order val="8"/>
          <c:tx>
            <c:strRef>
              <c:f>heads_1!$B$12</c:f>
              <c:strCache>
                <c:ptCount val="1"/>
                <c:pt idx="0">
                  <c:v>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7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7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7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heads_1!$C$12:$AA$12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F74-0E49-A173-44D96973D11E}"/>
            </c:ext>
          </c:extLst>
        </c:ser>
        <c:ser>
          <c:idx val="9"/>
          <c:order val="9"/>
          <c:tx>
            <c:strRef>
              <c:f>heads_1!$B$13</c:f>
              <c:strCache>
                <c:ptCount val="1"/>
                <c:pt idx="0">
                  <c:v>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8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8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8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heads_1!$C$13:$AA$13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F74-0E49-A173-44D96973D11E}"/>
            </c:ext>
          </c:extLst>
        </c:ser>
        <c:ser>
          <c:idx val="10"/>
          <c:order val="10"/>
          <c:tx>
            <c:strRef>
              <c:f>heads_1!$B$14</c:f>
              <c:strCache>
                <c:ptCount val="1"/>
                <c:pt idx="0">
                  <c:v>1000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heads_1!$C$14:$AA$14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F74-0E49-A173-44D96973D11E}"/>
            </c:ext>
          </c:extLst>
        </c:ser>
        <c:ser>
          <c:idx val="11"/>
          <c:order val="11"/>
          <c:tx>
            <c:strRef>
              <c:f>heads_1!$B$15</c:f>
              <c:strCache>
                <c:ptCount val="1"/>
                <c:pt idx="0">
                  <c:v>1100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tint val="9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tint val="9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heads_1!$C$15:$AA$15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F74-0E49-A173-44D96973D11E}"/>
            </c:ext>
          </c:extLst>
        </c:ser>
        <c:ser>
          <c:idx val="12"/>
          <c:order val="12"/>
          <c:tx>
            <c:strRef>
              <c:f>heads_1!$B$16</c:f>
              <c:strCache>
                <c:ptCount val="1"/>
                <c:pt idx="0">
                  <c:v>1200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heads_1!$C$16:$AA$16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F74-0E49-A173-44D96973D11E}"/>
            </c:ext>
          </c:extLst>
        </c:ser>
        <c:ser>
          <c:idx val="13"/>
          <c:order val="13"/>
          <c:tx>
            <c:strRef>
              <c:f>heads_1!$B$17</c:f>
              <c:strCache>
                <c:ptCount val="1"/>
                <c:pt idx="0">
                  <c:v>1300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94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94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94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heads_1!$C$17:$AA$17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3F74-0E49-A173-44D96973D11E}"/>
            </c:ext>
          </c:extLst>
        </c:ser>
        <c:ser>
          <c:idx val="14"/>
          <c:order val="14"/>
          <c:tx>
            <c:strRef>
              <c:f>heads_1!$B$18</c:f>
              <c:strCache>
                <c:ptCount val="1"/>
                <c:pt idx="0">
                  <c:v>1400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9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9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heads_1!$C$18:$AA$18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3F74-0E49-A173-44D96973D11E}"/>
            </c:ext>
          </c:extLst>
        </c:ser>
        <c:ser>
          <c:idx val="15"/>
          <c:order val="15"/>
          <c:tx>
            <c:strRef>
              <c:f>heads_1!$B$19</c:f>
              <c:strCache>
                <c:ptCount val="1"/>
                <c:pt idx="0">
                  <c:v>1500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8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8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8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heads_1!$C$19:$AA$19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3F74-0E49-A173-44D96973D11E}"/>
            </c:ext>
          </c:extLst>
        </c:ser>
        <c:ser>
          <c:idx val="16"/>
          <c:order val="16"/>
          <c:tx>
            <c:strRef>
              <c:f>heads_1!$B$20</c:f>
              <c:strCache>
                <c:ptCount val="1"/>
                <c:pt idx="0">
                  <c:v>1600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8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8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heads_1!$C$20:$AA$20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3F74-0E49-A173-44D96973D11E}"/>
            </c:ext>
          </c:extLst>
        </c:ser>
        <c:ser>
          <c:idx val="17"/>
          <c:order val="17"/>
          <c:tx>
            <c:strRef>
              <c:f>heads_1!$B$21</c:f>
              <c:strCache>
                <c:ptCount val="1"/>
                <c:pt idx="0">
                  <c:v>1700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7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heads_1!$C$21:$AA$21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3F74-0E49-A173-44D96973D11E}"/>
            </c:ext>
          </c:extLst>
        </c:ser>
        <c:ser>
          <c:idx val="18"/>
          <c:order val="18"/>
          <c:tx>
            <c:strRef>
              <c:f>heads_1!$B$22</c:f>
              <c:strCache>
                <c:ptCount val="1"/>
                <c:pt idx="0">
                  <c:v>1800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7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7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heads_1!$C$22:$AA$22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F74-0E49-A173-44D96973D11E}"/>
            </c:ext>
          </c:extLst>
        </c:ser>
        <c:ser>
          <c:idx val="19"/>
          <c:order val="19"/>
          <c:tx>
            <c:strRef>
              <c:f>heads_1!$B$23</c:f>
              <c:strCache>
                <c:ptCount val="1"/>
                <c:pt idx="0">
                  <c:v>1900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62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62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62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heads_1!$C$23:$AA$23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3F74-0E49-A173-44D96973D11E}"/>
            </c:ext>
          </c:extLst>
        </c:ser>
        <c:ser>
          <c:idx val="20"/>
          <c:order val="20"/>
          <c:tx>
            <c:strRef>
              <c:f>heads_1!$B$24</c:f>
              <c:strCache>
                <c:ptCount val="1"/>
                <c:pt idx="0">
                  <c:v>2000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heads_1!$C$24:$AA$24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3F74-0E49-A173-44D96973D11E}"/>
            </c:ext>
          </c:extLst>
        </c:ser>
        <c:ser>
          <c:idx val="21"/>
          <c:order val="21"/>
          <c:tx>
            <c:strRef>
              <c:f>heads_1!$B$25</c:f>
              <c:strCache>
                <c:ptCount val="1"/>
                <c:pt idx="0">
                  <c:v>2100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1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1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heads_1!$C$25:$AA$25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3F74-0E49-A173-44D96973D11E}"/>
            </c:ext>
          </c:extLst>
        </c:ser>
        <c:ser>
          <c:idx val="22"/>
          <c:order val="22"/>
          <c:tx>
            <c:strRef>
              <c:f>heads_1!$B$26</c:f>
              <c:strCache>
                <c:ptCount val="1"/>
                <c:pt idx="0">
                  <c:v>2200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heads_1!$C$26:$AA$26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3F74-0E49-A173-44D96973D11E}"/>
            </c:ext>
          </c:extLst>
        </c:ser>
        <c:ser>
          <c:idx val="23"/>
          <c:order val="23"/>
          <c:tx>
            <c:strRef>
              <c:f>heads_1!$B$27</c:f>
              <c:strCache>
                <c:ptCount val="1"/>
                <c:pt idx="0">
                  <c:v>2300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heads_1!$C$27:$AA$27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3F74-0E49-A173-44D96973D11E}"/>
            </c:ext>
          </c:extLst>
        </c:ser>
        <c:ser>
          <c:idx val="24"/>
          <c:order val="24"/>
          <c:tx>
            <c:strRef>
              <c:f>heads_1!$B$28</c:f>
              <c:strCache>
                <c:ptCount val="1"/>
                <c:pt idx="0">
                  <c:v>2400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35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35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3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numRef>
              <c:f>heads_1!$C$3:$AA$3</c:f>
              <c:numCache>
                <c:formatCode>General</c:formatCode>
                <c:ptCount val="25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  <c:pt idx="21">
                  <c:v>2100</c:v>
                </c:pt>
                <c:pt idx="22">
                  <c:v>2200</c:v>
                </c:pt>
                <c:pt idx="23">
                  <c:v>2300</c:v>
                </c:pt>
                <c:pt idx="24">
                  <c:v>2400</c:v>
                </c:pt>
              </c:numCache>
            </c:numRef>
          </c:cat>
          <c:val>
            <c:numRef>
              <c:f>heads_1!$C$28:$AA$28</c:f>
              <c:numCache>
                <c:formatCode>General</c:formatCode>
                <c:ptCount val="25"/>
                <c:pt idx="0" formatCode="0.00">
                  <c:v>15</c:v>
                </c:pt>
                <c:pt idx="1">
                  <c:v>14.77</c:v>
                </c:pt>
                <c:pt idx="2">
                  <c:v>14.55</c:v>
                </c:pt>
                <c:pt idx="3">
                  <c:v>14.32</c:v>
                </c:pt>
                <c:pt idx="4" formatCode="0.00">
                  <c:v>14.1</c:v>
                </c:pt>
                <c:pt idx="5">
                  <c:v>13.87</c:v>
                </c:pt>
                <c:pt idx="6">
                  <c:v>13.65</c:v>
                </c:pt>
                <c:pt idx="7">
                  <c:v>13.42</c:v>
                </c:pt>
                <c:pt idx="8" formatCode="0.00">
                  <c:v>13.2</c:v>
                </c:pt>
                <c:pt idx="9">
                  <c:v>12.97</c:v>
                </c:pt>
                <c:pt idx="10">
                  <c:v>12.85</c:v>
                </c:pt>
                <c:pt idx="11">
                  <c:v>12.83</c:v>
                </c:pt>
                <c:pt idx="12" formatCode="0.00">
                  <c:v>12.7</c:v>
                </c:pt>
                <c:pt idx="13">
                  <c:v>12.48</c:v>
                </c:pt>
                <c:pt idx="14">
                  <c:v>12.25</c:v>
                </c:pt>
                <c:pt idx="15">
                  <c:v>12.03</c:v>
                </c:pt>
                <c:pt idx="16" formatCode="0.00">
                  <c:v>11.8</c:v>
                </c:pt>
                <c:pt idx="17" formatCode="0.00">
                  <c:v>11.58</c:v>
                </c:pt>
                <c:pt idx="18" formatCode="0.00">
                  <c:v>11.35</c:v>
                </c:pt>
                <c:pt idx="19" formatCode="0.00">
                  <c:v>11.13</c:v>
                </c:pt>
                <c:pt idx="20" formatCode="0.00">
                  <c:v>10.9</c:v>
                </c:pt>
                <c:pt idx="21">
                  <c:v>10.68</c:v>
                </c:pt>
                <c:pt idx="22">
                  <c:v>10.45</c:v>
                </c:pt>
                <c:pt idx="23">
                  <c:v>10.23</c:v>
                </c:pt>
                <c:pt idx="24" formatCode="0.0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3F74-0E49-A173-44D96973D11E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6">
                      <a:tint val="42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42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42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6">
                      <a:tint val="54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54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54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6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6">
                      <a:tint val="77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77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77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6">
                      <a:tint val="89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tint val="89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tint val="89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6">
                      <a:shade val="8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8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8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6">
                      <a:shade val="7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7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7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6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6">
                      <a:shade val="53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53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53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6">
                      <a:shade val="41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hade val="41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shade val="41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921434463"/>
        <c:axId val="921436111"/>
        <c:axId val="919527535"/>
      </c:surfaceChart>
      <c:catAx>
        <c:axId val="921434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l_x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  <c:auto val="1"/>
        <c:lblAlgn val="ctr"/>
        <c:lblOffset val="100"/>
        <c:noMultiLvlLbl val="0"/>
      </c:catAx>
      <c:valAx>
        <c:axId val="921436111"/>
        <c:scaling>
          <c:orientation val="minMax"/>
          <c:max val="15"/>
          <c:min val="1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L_Y( M)</a:t>
                </a:r>
              </a:p>
            </c:rich>
          </c:tx>
          <c:layout>
            <c:manualLayout>
              <c:xMode val="edge"/>
              <c:yMode val="edge"/>
              <c:x val="0.68936158309158724"/>
              <c:y val="0.449844399031026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4463"/>
        <c:crosses val="autoZero"/>
        <c:crossBetween val="midCat"/>
        <c:majorUnit val="0.5"/>
      </c:valAx>
      <c:serAx>
        <c:axId val="919527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HEAD</a:t>
                </a:r>
                <a:r>
                  <a:rPr lang="en-US" baseline="0"/>
                  <a:t> M)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76885661002900951"/>
              <c:y val="0.4519323968172461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436111"/>
        <c:crosses val="autoZero"/>
      </c:ser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43866556154174"/>
          <c:y val="0.31053454815047193"/>
          <c:w val="0.17548715292167424"/>
          <c:h val="0.425266105033243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Stratman, Adam Lee - (astratman)</dc:creator>
  <cp:keywords/>
  <dc:description/>
  <cp:lastModifiedBy>Stratman, Adam Lee - (astratman)</cp:lastModifiedBy>
  <cp:revision>1</cp:revision>
  <dcterms:created xsi:type="dcterms:W3CDTF">2022-01-28T21:41:00Z</dcterms:created>
  <dcterms:modified xsi:type="dcterms:W3CDTF">2022-01-30T20:19:00Z</dcterms:modified>
</cp:coreProperties>
</file>