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5323C" w14:textId="7399ADA1" w:rsidR="00616283" w:rsidRDefault="00616283" w:rsidP="001C7EEE">
      <w:pPr>
        <w:jc w:val="center"/>
      </w:pPr>
    </w:p>
    <w:p w14:paraId="69A6F664" w14:textId="454752BD" w:rsidR="001C7EEE" w:rsidRDefault="001C7EEE" w:rsidP="001C7EEE">
      <w:pPr>
        <w:jc w:val="center"/>
      </w:pPr>
    </w:p>
    <w:p w14:paraId="5C3DF287" w14:textId="4F8E0507" w:rsidR="001C7EEE" w:rsidRDefault="001C7EEE" w:rsidP="001C7EEE">
      <w:pPr>
        <w:jc w:val="center"/>
      </w:pPr>
    </w:p>
    <w:p w14:paraId="7BD74206" w14:textId="77777777" w:rsidR="001C7EEE" w:rsidRDefault="001C7EEE" w:rsidP="001C7EEE">
      <w:pPr>
        <w:jc w:val="center"/>
      </w:pPr>
    </w:p>
    <w:p w14:paraId="61AA8825" w14:textId="6AD618CE" w:rsidR="001C7EEE" w:rsidRDefault="001C7EEE" w:rsidP="001C7EEE">
      <w:pPr>
        <w:jc w:val="center"/>
      </w:pPr>
    </w:p>
    <w:p w14:paraId="32828D26" w14:textId="28C770AE" w:rsidR="001C7EEE" w:rsidRDefault="001C7EEE" w:rsidP="001C7EEE">
      <w:pPr>
        <w:jc w:val="center"/>
      </w:pPr>
    </w:p>
    <w:p w14:paraId="063A82F1" w14:textId="0DBE0A78" w:rsidR="001C7EEE" w:rsidRDefault="001C7EEE" w:rsidP="001C7EEE">
      <w:pPr>
        <w:jc w:val="center"/>
      </w:pPr>
    </w:p>
    <w:p w14:paraId="4EA44E2F" w14:textId="77777777" w:rsidR="001C7EEE" w:rsidRDefault="001C7EEE" w:rsidP="001C7EEE">
      <w:pPr>
        <w:jc w:val="center"/>
      </w:pPr>
    </w:p>
    <w:p w14:paraId="6E09CC07" w14:textId="77777777" w:rsidR="001C7EEE" w:rsidRDefault="001C7EEE" w:rsidP="001C7EEE">
      <w:pPr>
        <w:jc w:val="center"/>
      </w:pPr>
    </w:p>
    <w:p w14:paraId="1663AB2C" w14:textId="0C0CC9E8" w:rsidR="001C7EEE" w:rsidRDefault="001C7EEE" w:rsidP="001C7EEE">
      <w:pPr>
        <w:jc w:val="center"/>
      </w:pPr>
      <w:r>
        <w:t>Farm Challenge Report</w:t>
      </w:r>
    </w:p>
    <w:p w14:paraId="3B1CC3CB" w14:textId="6BE258D9" w:rsidR="001C7EEE" w:rsidRDefault="001C7EEE" w:rsidP="001C7EEE">
      <w:pPr>
        <w:jc w:val="center"/>
      </w:pPr>
    </w:p>
    <w:p w14:paraId="657780A1" w14:textId="77777777" w:rsidR="001C7EEE" w:rsidRDefault="001C7EEE" w:rsidP="001C7EEE">
      <w:pPr>
        <w:jc w:val="center"/>
      </w:pPr>
    </w:p>
    <w:p w14:paraId="5B6F4336" w14:textId="74C16A6D" w:rsidR="001C7EEE" w:rsidRDefault="001C7EEE" w:rsidP="001C7EEE">
      <w:pPr>
        <w:jc w:val="center"/>
      </w:pPr>
      <w:r>
        <w:t>Homework 7</w:t>
      </w:r>
    </w:p>
    <w:p w14:paraId="2C13588A" w14:textId="08E50DED" w:rsidR="001C7EEE" w:rsidRDefault="001C7EEE" w:rsidP="001C7EEE">
      <w:pPr>
        <w:jc w:val="center"/>
      </w:pPr>
    </w:p>
    <w:p w14:paraId="5653E76E" w14:textId="77777777" w:rsidR="001C7EEE" w:rsidRDefault="001C7EEE" w:rsidP="001C7EEE">
      <w:pPr>
        <w:jc w:val="center"/>
      </w:pPr>
    </w:p>
    <w:p w14:paraId="6EB6B657" w14:textId="1EECB4FF" w:rsidR="001C7EEE" w:rsidRDefault="001C7EEE" w:rsidP="001C7EEE">
      <w:pPr>
        <w:jc w:val="center"/>
      </w:pPr>
      <w:r>
        <w:t>HWRS 482</w:t>
      </w:r>
    </w:p>
    <w:p w14:paraId="3B589A93" w14:textId="512EDA35" w:rsidR="001C7EEE" w:rsidRDefault="001C7EEE" w:rsidP="001C7EEE">
      <w:pPr>
        <w:jc w:val="center"/>
      </w:pPr>
    </w:p>
    <w:p w14:paraId="0D76172C" w14:textId="0663A664" w:rsidR="001C7EEE" w:rsidRDefault="001C7EEE" w:rsidP="001C7EEE">
      <w:pPr>
        <w:jc w:val="center"/>
      </w:pPr>
    </w:p>
    <w:p w14:paraId="37F2EEAB" w14:textId="35A8456F" w:rsidR="001C7EEE" w:rsidRDefault="001C7EEE" w:rsidP="001C7EEE">
      <w:pPr>
        <w:jc w:val="center"/>
      </w:pPr>
      <w:r>
        <w:t>Compiled by Abigail Kahler</w:t>
      </w:r>
    </w:p>
    <w:p w14:paraId="137C82AD" w14:textId="77777777" w:rsidR="001C7EEE" w:rsidRDefault="001C7EEE" w:rsidP="001C7EEE">
      <w:pPr>
        <w:jc w:val="center"/>
      </w:pPr>
    </w:p>
    <w:p w14:paraId="6CAB7C28" w14:textId="09C6F109" w:rsidR="001C7EEE" w:rsidRDefault="001C7EEE" w:rsidP="001C7EEE">
      <w:pPr>
        <w:jc w:val="center"/>
      </w:pPr>
      <w:r>
        <w:t>March 17, 2022</w:t>
      </w:r>
    </w:p>
    <w:p w14:paraId="6BF7182E" w14:textId="3019AC54" w:rsidR="001C7EEE" w:rsidRDefault="001C7EEE" w:rsidP="001C7EEE">
      <w:pPr>
        <w:jc w:val="center"/>
      </w:pPr>
      <w:r>
        <w:t>University of Arizona</w:t>
      </w:r>
    </w:p>
    <w:p w14:paraId="63F4E5FC" w14:textId="4527DBB9" w:rsidR="001C7EEE" w:rsidRDefault="001C7EEE" w:rsidP="001C7EEE">
      <w:pPr>
        <w:jc w:val="center"/>
      </w:pPr>
    </w:p>
    <w:p w14:paraId="2525269E" w14:textId="1D475025" w:rsidR="001C7EEE" w:rsidRDefault="001C7EEE" w:rsidP="001C7EEE">
      <w:pPr>
        <w:jc w:val="center"/>
      </w:pPr>
    </w:p>
    <w:p w14:paraId="53DA5FA0" w14:textId="7B936233" w:rsidR="001C7EEE" w:rsidRDefault="001C7EEE" w:rsidP="001C7EEE">
      <w:pPr>
        <w:jc w:val="center"/>
      </w:pPr>
    </w:p>
    <w:p w14:paraId="602B4000" w14:textId="76433B67" w:rsidR="001C7EEE" w:rsidRDefault="001C7EEE" w:rsidP="001C7EEE">
      <w:pPr>
        <w:jc w:val="center"/>
      </w:pPr>
    </w:p>
    <w:p w14:paraId="0C4AE4D8" w14:textId="3039E0DA" w:rsidR="001C7EEE" w:rsidRDefault="001C7EEE" w:rsidP="001C7EEE">
      <w:pPr>
        <w:jc w:val="center"/>
      </w:pPr>
    </w:p>
    <w:p w14:paraId="3773CF62" w14:textId="70E7A150" w:rsidR="001C7EEE" w:rsidRDefault="001C7EEE" w:rsidP="001C7EEE">
      <w:pPr>
        <w:jc w:val="center"/>
      </w:pPr>
    </w:p>
    <w:p w14:paraId="01247B8B" w14:textId="6FA4322D" w:rsidR="001C7EEE" w:rsidRDefault="001C7EEE" w:rsidP="001C7EEE">
      <w:pPr>
        <w:jc w:val="center"/>
      </w:pPr>
    </w:p>
    <w:p w14:paraId="0925C869" w14:textId="7DE4E820" w:rsidR="001C7EEE" w:rsidRDefault="001C7EEE" w:rsidP="001C7EEE">
      <w:pPr>
        <w:spacing w:after="0"/>
      </w:pPr>
      <w:r>
        <w:rPr>
          <w:i/>
          <w:iCs/>
        </w:rPr>
        <w:lastRenderedPageBreak/>
        <w:t>Introduction</w:t>
      </w:r>
    </w:p>
    <w:p w14:paraId="51AA0092" w14:textId="15CA2DFF" w:rsidR="001C7EEE" w:rsidRDefault="001C7EEE" w:rsidP="001C7EEE">
      <w:pPr>
        <w:spacing w:after="0"/>
      </w:pPr>
      <w:r>
        <w:t xml:space="preserve">This report details the results of a MODFLOW model examining how the introduction of ACME Farming Corp. will impact the groundwater supply to Wildcat Farm. </w:t>
      </w:r>
      <w:r w:rsidR="0091262C">
        <w:t>The farms cultivate alfalfa and cotton. Located in southern Arizona, crop consumptive use and evapotranspiration losses can significantly draw down regional aquifers to the detriment of multiple users.</w:t>
      </w:r>
    </w:p>
    <w:p w14:paraId="085357A6" w14:textId="00561DC7" w:rsidR="0091262C" w:rsidRDefault="0091262C" w:rsidP="001C7EEE">
      <w:pPr>
        <w:spacing w:after="0"/>
      </w:pPr>
    </w:p>
    <w:p w14:paraId="2BFDC75F" w14:textId="41D6512B" w:rsidR="00DA1974" w:rsidRPr="00DA1974" w:rsidRDefault="0091262C" w:rsidP="001C7EEE">
      <w:pPr>
        <w:spacing w:after="0"/>
        <w:rPr>
          <w:i/>
          <w:iCs/>
        </w:rPr>
      </w:pPr>
      <w:r>
        <w:rPr>
          <w:i/>
          <w:iCs/>
        </w:rPr>
        <w:t>Conceptual Model</w:t>
      </w:r>
    </w:p>
    <w:p w14:paraId="7A16121C" w14:textId="55F4A74D" w:rsidR="0091262C" w:rsidRDefault="00DA1974" w:rsidP="001C7EEE">
      <w:pPr>
        <w:spacing w:after="0"/>
      </w:pPr>
      <w:r>
        <w:rPr>
          <w:noProof/>
        </w:rPr>
        <w:drawing>
          <wp:inline distT="0" distB="0" distL="0" distR="0" wp14:anchorId="471A226E" wp14:editId="159704DB">
            <wp:extent cx="5943600" cy="321373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943600" cy="3213735"/>
                    </a:xfrm>
                    <a:prstGeom prst="rect">
                      <a:avLst/>
                    </a:prstGeom>
                  </pic:spPr>
                </pic:pic>
              </a:graphicData>
            </a:graphic>
          </wp:inline>
        </w:drawing>
      </w:r>
    </w:p>
    <w:p w14:paraId="719BEFB1" w14:textId="6DE50327" w:rsidR="00552185" w:rsidRDefault="00DA1974" w:rsidP="001C7EEE">
      <w:pPr>
        <w:spacing w:after="0"/>
      </w:pPr>
      <w:r>
        <w:t xml:space="preserve">The conceptual model of the system </w:t>
      </w:r>
      <w:r w:rsidR="00311E16">
        <w:t>identifies</w:t>
      </w:r>
      <w:r>
        <w:t xml:space="preserve"> four observation wells at the edges of the domain. </w:t>
      </w:r>
      <w:r w:rsidR="00552185">
        <w:t>D</w:t>
      </w:r>
      <w:r>
        <w:t>ata</w:t>
      </w:r>
      <w:r w:rsidR="00552185">
        <w:t xml:space="preserve"> from these well</w:t>
      </w:r>
      <w:r w:rsidR="00311E16">
        <w:t>s</w:t>
      </w:r>
      <w:r w:rsidR="00552185">
        <w:t xml:space="preserve"> provide the framework for determining plausible constant head boundaries and hydraulic conductivities (K). </w:t>
      </w:r>
      <w:r w:rsidR="00413A1C">
        <w:t>The system contains three</w:t>
      </w:r>
      <w:r w:rsidR="00311E16">
        <w:t xml:space="preserve"> gradients</w:t>
      </w:r>
      <w:r w:rsidR="00413A1C">
        <w:t xml:space="preserve"> of gradient hydraulic conductivit</w:t>
      </w:r>
      <w:r w:rsidR="00311E16">
        <w:t>y</w:t>
      </w:r>
      <w:r w:rsidR="00413A1C">
        <w:t xml:space="preserve"> representing the distribution of measured K at four observation wells. </w:t>
      </w:r>
      <w:r w:rsidR="00552185">
        <w:t xml:space="preserve">Grid resolution is 100 square meters, which is great enough to generate a representative scale without a prohibitive computational draw. </w:t>
      </w:r>
    </w:p>
    <w:p w14:paraId="1A9DBB6F" w14:textId="77777777" w:rsidR="00552185" w:rsidRDefault="00552185" w:rsidP="001C7EEE">
      <w:pPr>
        <w:spacing w:after="0"/>
        <w:rPr>
          <w:i/>
          <w:iCs/>
        </w:rPr>
      </w:pPr>
    </w:p>
    <w:p w14:paraId="25C31628" w14:textId="302C5463" w:rsidR="00DA1974" w:rsidRDefault="00552185" w:rsidP="001C7EEE">
      <w:pPr>
        <w:spacing w:after="0"/>
      </w:pPr>
      <w:r>
        <w:rPr>
          <w:i/>
          <w:iCs/>
        </w:rPr>
        <w:t>Model Parameters</w:t>
      </w:r>
      <w:r>
        <w:t xml:space="preserve"> </w:t>
      </w:r>
    </w:p>
    <w:p w14:paraId="2FAE233F" w14:textId="3CAEFB9F" w:rsidR="00552185" w:rsidRPr="0098293C" w:rsidRDefault="00552185" w:rsidP="0098293C">
      <w:pPr>
        <w:pStyle w:val="ListParagraph"/>
        <w:numPr>
          <w:ilvl w:val="0"/>
          <w:numId w:val="1"/>
        </w:numPr>
        <w:spacing w:after="0"/>
        <w:rPr>
          <w:vertAlign w:val="superscript"/>
        </w:rPr>
      </w:pPr>
      <w:r>
        <w:t>Hydraulic conductivity, zone 1</w:t>
      </w:r>
      <w:r w:rsidR="0098293C">
        <w:t>: 1 m/d</w:t>
      </w:r>
    </w:p>
    <w:p w14:paraId="4669FBED" w14:textId="05B6E64F" w:rsidR="0098293C" w:rsidRDefault="0098293C" w:rsidP="0098293C">
      <w:pPr>
        <w:pStyle w:val="ListParagraph"/>
        <w:spacing w:after="0"/>
      </w:pPr>
      <w:r>
        <w:t>Chosen as a conservative representation of the measured K at observation wells one and three.</w:t>
      </w:r>
    </w:p>
    <w:p w14:paraId="0C577596" w14:textId="7875AC8D" w:rsidR="0098293C" w:rsidRDefault="0098293C" w:rsidP="0098293C">
      <w:pPr>
        <w:pStyle w:val="ListParagraph"/>
        <w:spacing w:after="0"/>
      </w:pPr>
      <w:r>
        <w:t>K</w:t>
      </w:r>
      <w:r>
        <w:rPr>
          <w:vertAlign w:val="subscript"/>
        </w:rPr>
        <w:t>obs1</w:t>
      </w:r>
      <w:r>
        <w:t xml:space="preserve"> = 1.5 m/d</w:t>
      </w:r>
    </w:p>
    <w:p w14:paraId="556986CC" w14:textId="6584A32C" w:rsidR="0098293C" w:rsidRDefault="0098293C" w:rsidP="0098293C">
      <w:pPr>
        <w:pStyle w:val="ListParagraph"/>
        <w:spacing w:after="0"/>
      </w:pPr>
      <w:r>
        <w:t>K</w:t>
      </w:r>
      <w:r>
        <w:rPr>
          <w:vertAlign w:val="subscript"/>
        </w:rPr>
        <w:t>obs2</w:t>
      </w:r>
      <w:r>
        <w:t xml:space="preserve"> = 1 m/d</w:t>
      </w:r>
    </w:p>
    <w:p w14:paraId="3EBB8EDA" w14:textId="4CCD9EC1" w:rsidR="0098293C" w:rsidRDefault="0098293C" w:rsidP="0098293C">
      <w:pPr>
        <w:pStyle w:val="ListParagraph"/>
        <w:numPr>
          <w:ilvl w:val="0"/>
          <w:numId w:val="1"/>
        </w:numPr>
        <w:spacing w:after="0"/>
      </w:pPr>
      <w:r>
        <w:t>Hydraulic conductivity, zone 2: 6 m/d</w:t>
      </w:r>
    </w:p>
    <w:p w14:paraId="7A74CC5F" w14:textId="6FA12A5B" w:rsidR="0098293C" w:rsidRDefault="0098293C" w:rsidP="0098293C">
      <w:pPr>
        <w:pStyle w:val="ListParagraph"/>
        <w:spacing w:after="0"/>
      </w:pPr>
      <w:r>
        <w:t>A median value between the zones of greatest and lowest hydraulic conductivities</w:t>
      </w:r>
    </w:p>
    <w:p w14:paraId="14E2D621" w14:textId="1FF7D87B" w:rsidR="0098293C" w:rsidRDefault="00413A1C" w:rsidP="00413A1C">
      <w:pPr>
        <w:pStyle w:val="ListParagraph"/>
        <w:numPr>
          <w:ilvl w:val="0"/>
          <w:numId w:val="1"/>
        </w:numPr>
        <w:spacing w:after="0"/>
      </w:pPr>
      <w:r>
        <w:t>Hydraulic conductivity, zone 3: 11 m/d</w:t>
      </w:r>
    </w:p>
    <w:p w14:paraId="0238B8BC" w14:textId="3E980BC9" w:rsidR="00413A1C" w:rsidRDefault="00413A1C" w:rsidP="00413A1C">
      <w:pPr>
        <w:pStyle w:val="ListParagraph"/>
        <w:spacing w:after="0"/>
      </w:pPr>
      <w:r>
        <w:t>Chosen as a representative value between the measured K at observation wells two and four.</w:t>
      </w:r>
    </w:p>
    <w:p w14:paraId="6A08FB4E" w14:textId="00FB296B" w:rsidR="00413A1C" w:rsidRDefault="00413A1C" w:rsidP="00413A1C">
      <w:pPr>
        <w:pStyle w:val="ListParagraph"/>
        <w:spacing w:after="0"/>
      </w:pPr>
      <w:r>
        <w:t>K</w:t>
      </w:r>
      <w:r>
        <w:rPr>
          <w:vertAlign w:val="subscript"/>
        </w:rPr>
        <w:t>obs2</w:t>
      </w:r>
      <w:r>
        <w:t xml:space="preserve"> = 13 m/d</w:t>
      </w:r>
    </w:p>
    <w:p w14:paraId="3E7096EF" w14:textId="57454C87" w:rsidR="00413A1C" w:rsidRDefault="00413A1C" w:rsidP="00413A1C">
      <w:pPr>
        <w:pStyle w:val="ListParagraph"/>
        <w:spacing w:after="0"/>
      </w:pPr>
      <w:r>
        <w:t>K</w:t>
      </w:r>
      <w:r>
        <w:rPr>
          <w:vertAlign w:val="subscript"/>
        </w:rPr>
        <w:t>obs4</w:t>
      </w:r>
      <w:r>
        <w:t xml:space="preserve"> = 8 m/d</w:t>
      </w:r>
    </w:p>
    <w:p w14:paraId="1F9E3C43" w14:textId="17792E99" w:rsidR="0098293C" w:rsidRDefault="00A2111C" w:rsidP="00413A1C">
      <w:pPr>
        <w:pStyle w:val="ListParagraph"/>
        <w:numPr>
          <w:ilvl w:val="0"/>
          <w:numId w:val="1"/>
        </w:numPr>
        <w:spacing w:after="0"/>
      </w:pPr>
      <w:r>
        <w:t>C</w:t>
      </w:r>
      <w:r w:rsidR="00413A1C">
        <w:t>oordinates</w:t>
      </w:r>
      <w:r w:rsidR="00B66266">
        <w:t>,</w:t>
      </w:r>
      <w:r w:rsidR="00413A1C">
        <w:t xml:space="preserve"> areas</w:t>
      </w:r>
      <w:r w:rsidR="00B66266">
        <w:t>, and crops</w:t>
      </w:r>
      <w:r>
        <w:t xml:space="preserve"> for each farm were</w:t>
      </w:r>
      <w:r w:rsidR="00413A1C">
        <w:t xml:space="preserve"> given in the provided materials</w:t>
      </w:r>
      <w:r>
        <w:t>.</w:t>
      </w:r>
    </w:p>
    <w:p w14:paraId="4D71789C" w14:textId="6085625B" w:rsidR="00413A1C" w:rsidRDefault="00413A1C" w:rsidP="00413A1C">
      <w:pPr>
        <w:pStyle w:val="ListParagraph"/>
        <w:numPr>
          <w:ilvl w:val="1"/>
          <w:numId w:val="1"/>
        </w:numPr>
        <w:spacing w:after="0"/>
      </w:pPr>
      <w:r>
        <w:lastRenderedPageBreak/>
        <w:t>Wildcat Farm: 30 acres</w:t>
      </w:r>
      <w:r w:rsidR="00B66266">
        <w:t xml:space="preserve"> of cotton</w:t>
      </w:r>
      <w:r>
        <w:t>,</w:t>
      </w:r>
      <w:r w:rsidR="00B66266">
        <w:t xml:space="preserve"> approximately square,</w:t>
      </w:r>
      <w:r>
        <w:t xml:space="preserve"> </w:t>
      </w:r>
      <w:r w:rsidR="00B66266">
        <w:t>s</w:t>
      </w:r>
      <w:r>
        <w:t xml:space="preserve">outhwest corner </w:t>
      </w:r>
      <w:r w:rsidR="00B66266">
        <w:t>latitude and longitude: (1500,125)</w:t>
      </w:r>
    </w:p>
    <w:p w14:paraId="5C0EC7A6" w14:textId="1F4639E8" w:rsidR="00B66266" w:rsidRDefault="00B66266" w:rsidP="00413A1C">
      <w:pPr>
        <w:pStyle w:val="ListParagraph"/>
        <w:numPr>
          <w:ilvl w:val="1"/>
          <w:numId w:val="1"/>
        </w:numPr>
        <w:spacing w:after="0"/>
      </w:pPr>
      <w:r>
        <w:t>ACME Farming Corp: 500 acres of alfalfa, approximately rectangular, southwest corner latitude and longitude (0,700)</w:t>
      </w:r>
    </w:p>
    <w:p w14:paraId="6428390B" w14:textId="3592D9C9" w:rsidR="00B66266" w:rsidRDefault="00B66266" w:rsidP="00B66266">
      <w:pPr>
        <w:spacing w:after="0"/>
      </w:pPr>
      <w:r w:rsidRPr="00B66266">
        <w:rPr>
          <w:i/>
          <w:iCs/>
        </w:rPr>
        <w:t>Pumping</w:t>
      </w:r>
      <w:r>
        <w:rPr>
          <w:i/>
          <w:iCs/>
        </w:rPr>
        <w:t xml:space="preserve"> Rates</w:t>
      </w:r>
    </w:p>
    <w:p w14:paraId="6F6EA57A" w14:textId="6B30273E" w:rsidR="00635D8D" w:rsidRDefault="00B66266" w:rsidP="00635D8D">
      <w:pPr>
        <w:spacing w:after="0"/>
      </w:pPr>
      <w:r>
        <w:t>Wildcat Farm pumps 348 m</w:t>
      </w:r>
      <w:r>
        <w:rPr>
          <w:vertAlign w:val="superscript"/>
        </w:rPr>
        <w:t>3</w:t>
      </w:r>
      <w:r>
        <w:t>/d</w:t>
      </w:r>
    </w:p>
    <w:p w14:paraId="315E6325" w14:textId="2AF92A9A" w:rsidR="00635D8D" w:rsidRPr="00635D8D" w:rsidRDefault="00635D8D" w:rsidP="00635D8D">
      <w:pPr>
        <w:spacing w:after="0"/>
      </w:pPr>
      <w:r>
        <w:tab/>
        <w:t>Cotton consumptive use * farm area = (.003 m/d * 121,410 m</w:t>
      </w:r>
      <w:r>
        <w:rPr>
          <w:vertAlign w:val="superscript"/>
        </w:rPr>
        <w:t>2</w:t>
      </w:r>
      <w:r>
        <w:t>)</w:t>
      </w:r>
    </w:p>
    <w:p w14:paraId="5B573514" w14:textId="7307D3A5" w:rsidR="00635D8D" w:rsidRDefault="00635D8D" w:rsidP="00B66266">
      <w:pPr>
        <w:spacing w:after="0"/>
      </w:pPr>
      <w:r>
        <w:t>ACME Faming Corp pumps 10,462 m</w:t>
      </w:r>
      <w:r>
        <w:rPr>
          <w:vertAlign w:val="superscript"/>
        </w:rPr>
        <w:t>3</w:t>
      </w:r>
      <w:r>
        <w:t>/d between two wells</w:t>
      </w:r>
    </w:p>
    <w:p w14:paraId="1C04DAE3" w14:textId="7BE08970" w:rsidR="00A2111C" w:rsidRDefault="00635D8D" w:rsidP="00B66266">
      <w:pPr>
        <w:spacing w:after="0"/>
      </w:pPr>
      <w:r>
        <w:tab/>
        <w:t>Alfalfa consumptive use * farm area = (.0052 m/d * 2,023,500 m</w:t>
      </w:r>
      <w:r>
        <w:rPr>
          <w:vertAlign w:val="superscript"/>
        </w:rPr>
        <w:t>2</w:t>
      </w:r>
      <w:r>
        <w:t>)</w:t>
      </w:r>
    </w:p>
    <w:p w14:paraId="34CE5470" w14:textId="77777777" w:rsidR="00311E16" w:rsidRPr="00635D8D" w:rsidRDefault="00311E16" w:rsidP="00B66266">
      <w:pPr>
        <w:spacing w:after="0"/>
      </w:pPr>
    </w:p>
    <w:p w14:paraId="076A4CDE" w14:textId="3DE0A84E" w:rsidR="00B66266" w:rsidRDefault="00635D8D" w:rsidP="00B66266">
      <w:pPr>
        <w:spacing w:after="0"/>
      </w:pPr>
      <w:r w:rsidRPr="00311E16">
        <w:rPr>
          <w:i/>
          <w:iCs/>
        </w:rPr>
        <w:t>Evapotranspiration</w:t>
      </w:r>
    </w:p>
    <w:p w14:paraId="6EA58E34" w14:textId="7EF7D4FA" w:rsidR="00635D8D" w:rsidRDefault="00635D8D" w:rsidP="00B66266">
      <w:pPr>
        <w:spacing w:after="0"/>
      </w:pPr>
      <w:r>
        <w:t>Background</w:t>
      </w:r>
      <w:r w:rsidR="00311E16">
        <w:t>: 5e-5 m/d</w:t>
      </w:r>
    </w:p>
    <w:p w14:paraId="2D29D56C" w14:textId="77088611" w:rsidR="00B848AB" w:rsidRDefault="00A2111C" w:rsidP="00B66266">
      <w:pPr>
        <w:spacing w:after="0"/>
      </w:pPr>
      <w:r>
        <w:t>Culti</w:t>
      </w:r>
      <w:r w:rsidR="00311E16">
        <w:t>vated areas</w:t>
      </w:r>
      <w:r w:rsidR="00B848AB">
        <w:t>:</w:t>
      </w:r>
    </w:p>
    <w:p w14:paraId="1D0C2780" w14:textId="469D3253" w:rsidR="00B848AB" w:rsidRDefault="00B848AB" w:rsidP="00B66266">
      <w:pPr>
        <w:spacing w:after="0"/>
      </w:pPr>
      <w:r>
        <w:tab/>
        <w:t>Wildcat Farm: .0039 m/d derived from average ET in arid Southwest</w:t>
      </w:r>
      <w:r w:rsidR="00B8275A">
        <w:t xml:space="preserve"> (Hanson 1991)</w:t>
      </w:r>
    </w:p>
    <w:p w14:paraId="00DED35D" w14:textId="790A4DBE" w:rsidR="001D4502" w:rsidRDefault="00B848AB" w:rsidP="00B66266">
      <w:pPr>
        <w:spacing w:after="0"/>
      </w:pPr>
      <w:r>
        <w:tab/>
        <w:t>ACME Farming Corp: .0031 m/d adjust to reflect multiple harvests of alfalfa</w:t>
      </w:r>
    </w:p>
    <w:p w14:paraId="1B5575AD" w14:textId="77777777" w:rsidR="00B8275A" w:rsidRDefault="00B8275A" w:rsidP="00B66266">
      <w:pPr>
        <w:spacing w:after="0"/>
      </w:pPr>
    </w:p>
    <w:p w14:paraId="02451C9E" w14:textId="32238CF7" w:rsidR="00A2111C" w:rsidRDefault="00A2111C" w:rsidP="00B66266">
      <w:pPr>
        <w:spacing w:after="0"/>
        <w:rPr>
          <w:i/>
          <w:iCs/>
        </w:rPr>
      </w:pPr>
      <w:r>
        <w:rPr>
          <w:i/>
          <w:iCs/>
        </w:rPr>
        <w:t>Recharge</w:t>
      </w:r>
    </w:p>
    <w:p w14:paraId="18E39F46" w14:textId="6A8B75D6" w:rsidR="00A2111C" w:rsidRDefault="00A2111C" w:rsidP="00B66266">
      <w:pPr>
        <w:spacing w:after="0"/>
      </w:pPr>
      <w:r>
        <w:t>Net recharge in non-irrigated areas in this domain is 1e-4 m/d</w:t>
      </w:r>
    </w:p>
    <w:p w14:paraId="0EFA8C3A" w14:textId="31A8C2FB" w:rsidR="00527F15" w:rsidRDefault="00527F15" w:rsidP="00527F15">
      <w:pPr>
        <w:pStyle w:val="ListParagraph"/>
        <w:numPr>
          <w:ilvl w:val="0"/>
          <w:numId w:val="1"/>
        </w:numPr>
        <w:spacing w:after="0"/>
      </w:pPr>
      <w:r>
        <w:t>Wildcat Farm: 0.001 m/d</w:t>
      </w:r>
    </w:p>
    <w:p w14:paraId="73284712" w14:textId="0C667A88" w:rsidR="00527F15" w:rsidRDefault="00527F15" w:rsidP="00527F15">
      <w:pPr>
        <w:pStyle w:val="ListParagraph"/>
        <w:spacing w:after="0"/>
      </w:pPr>
      <w:r>
        <w:t>Total irrigation * (1 – efficiency</w:t>
      </w:r>
      <w:r>
        <w:rPr>
          <w:vertAlign w:val="subscript"/>
        </w:rPr>
        <w:t>cotton</w:t>
      </w:r>
      <w:r>
        <w:t>) = .003 m/d * (1 – 0.80)</w:t>
      </w:r>
    </w:p>
    <w:p w14:paraId="527772DF" w14:textId="56696FBD" w:rsidR="00527F15" w:rsidRDefault="00527F15" w:rsidP="00527F15">
      <w:pPr>
        <w:pStyle w:val="ListParagraph"/>
        <w:numPr>
          <w:ilvl w:val="0"/>
          <w:numId w:val="1"/>
        </w:numPr>
        <w:spacing w:after="0"/>
      </w:pPr>
      <w:r>
        <w:t>ACME Farming Corp: 0.0008 m/d</w:t>
      </w:r>
    </w:p>
    <w:p w14:paraId="4AAADD2A" w14:textId="25F082CC" w:rsidR="00527F15" w:rsidRDefault="00527F15" w:rsidP="00527F15">
      <w:pPr>
        <w:spacing w:after="0"/>
        <w:ind w:left="720"/>
      </w:pPr>
      <w:r>
        <w:t>Total irrigation * (1 – efficiency</w:t>
      </w:r>
      <w:r>
        <w:rPr>
          <w:vertAlign w:val="subscript"/>
        </w:rPr>
        <w:t>alfalfa</w:t>
      </w:r>
      <w:r>
        <w:t>) = .0052 m/d * (1 - 0.85)</w:t>
      </w:r>
    </w:p>
    <w:p w14:paraId="1F198206" w14:textId="309DEA6F" w:rsidR="00527F15" w:rsidRDefault="00527F15" w:rsidP="00527F15">
      <w:pPr>
        <w:spacing w:after="0"/>
      </w:pPr>
    </w:p>
    <w:p w14:paraId="35377E64" w14:textId="142C9295" w:rsidR="00527F15" w:rsidRDefault="00527F15" w:rsidP="00527F15">
      <w:pPr>
        <w:spacing w:after="0"/>
      </w:pPr>
      <w:r>
        <w:rPr>
          <w:i/>
          <w:iCs/>
        </w:rPr>
        <w:t>Boundary Conditions</w:t>
      </w:r>
    </w:p>
    <w:p w14:paraId="0D000CE3" w14:textId="258247A8" w:rsidR="00527F15" w:rsidRDefault="00527F15" w:rsidP="00527F15">
      <w:pPr>
        <w:spacing w:after="0"/>
      </w:pPr>
      <w:r>
        <w:t>Constant head boundaries were derived from provided water table depth</w:t>
      </w:r>
      <w:r w:rsidR="00913433">
        <w:t xml:space="preserve"> (WTD)</w:t>
      </w:r>
      <w:r>
        <w:t xml:space="preserve"> at each observation well. </w:t>
      </w:r>
    </w:p>
    <w:p w14:paraId="712377CF" w14:textId="71CA70B4" w:rsidR="00913433" w:rsidRDefault="00913433" w:rsidP="00527F15">
      <w:pPr>
        <w:spacing w:after="0"/>
      </w:pPr>
      <w:r>
        <w:t>Obs</w:t>
      </w:r>
      <w:r>
        <w:rPr>
          <w:vertAlign w:val="subscript"/>
        </w:rPr>
        <w:t>1</w:t>
      </w:r>
      <w:r>
        <w:t xml:space="preserve"> WTD = 4.8 m</w:t>
      </w:r>
    </w:p>
    <w:p w14:paraId="7BE8D075" w14:textId="7E52906A" w:rsidR="00913433" w:rsidRDefault="00913433" w:rsidP="00527F15">
      <w:pPr>
        <w:spacing w:after="0"/>
      </w:pPr>
      <w:r>
        <w:t>Obs</w:t>
      </w:r>
      <w:r>
        <w:rPr>
          <w:vertAlign w:val="subscript"/>
        </w:rPr>
        <w:t>2</w:t>
      </w:r>
      <w:r>
        <w:t xml:space="preserve"> WTD = 5.4 m</w:t>
      </w:r>
    </w:p>
    <w:p w14:paraId="407B296B" w14:textId="1477338E" w:rsidR="00913433" w:rsidRDefault="00913433" w:rsidP="00527F15">
      <w:pPr>
        <w:spacing w:after="0"/>
      </w:pPr>
      <w:r>
        <w:t>Obs</w:t>
      </w:r>
      <w:r>
        <w:rPr>
          <w:vertAlign w:val="subscript"/>
        </w:rPr>
        <w:t>3</w:t>
      </w:r>
      <w:r>
        <w:t xml:space="preserve"> WTD = 50.2 m</w:t>
      </w:r>
    </w:p>
    <w:p w14:paraId="3C018536" w14:textId="07D9BE13" w:rsidR="00913433" w:rsidRDefault="00913433" w:rsidP="00527F15">
      <w:pPr>
        <w:spacing w:after="0"/>
      </w:pPr>
      <w:r>
        <w:t>Obs</w:t>
      </w:r>
      <w:r>
        <w:rPr>
          <w:vertAlign w:val="subscript"/>
        </w:rPr>
        <w:t>4</w:t>
      </w:r>
      <w:r>
        <w:t xml:space="preserve"> WTD = 51.6 m</w:t>
      </w:r>
    </w:p>
    <w:p w14:paraId="475D95AD" w14:textId="6C43DF38" w:rsidR="00913433" w:rsidRDefault="00913433" w:rsidP="00527F15">
      <w:pPr>
        <w:spacing w:after="0"/>
      </w:pPr>
    </w:p>
    <w:p w14:paraId="02D74B3A" w14:textId="09530B6A" w:rsidR="00913433" w:rsidRDefault="00913433" w:rsidP="00527F15">
      <w:pPr>
        <w:spacing w:after="0"/>
      </w:pPr>
      <w:r>
        <w:t>WTD</w:t>
      </w:r>
      <w:r>
        <w:rPr>
          <w:vertAlign w:val="subscript"/>
        </w:rPr>
        <w:t>left boundary</w:t>
      </w:r>
      <w:r>
        <w:t xml:space="preserve"> = 5 m</w:t>
      </w:r>
    </w:p>
    <w:p w14:paraId="51E99249" w14:textId="0D2FF542" w:rsidR="00913433" w:rsidRDefault="00913433" w:rsidP="00527F15">
      <w:pPr>
        <w:spacing w:after="0"/>
      </w:pPr>
      <w:r>
        <w:t>WTD</w:t>
      </w:r>
      <w:r>
        <w:rPr>
          <w:vertAlign w:val="subscript"/>
        </w:rPr>
        <w:t>right boundary</w:t>
      </w:r>
      <w:r>
        <w:t xml:space="preserve"> = 5</w:t>
      </w:r>
      <w:r w:rsidR="00B8275A">
        <w:t>1</w:t>
      </w:r>
      <w:r>
        <w:t xml:space="preserve"> m</w:t>
      </w:r>
    </w:p>
    <w:p w14:paraId="27F40947" w14:textId="5814BC90" w:rsidR="00913433" w:rsidRDefault="00913433" w:rsidP="00527F15">
      <w:pPr>
        <w:spacing w:after="0"/>
      </w:pPr>
    </w:p>
    <w:p w14:paraId="2E92BD00" w14:textId="4A832EAA" w:rsidR="00913433" w:rsidRDefault="00913433" w:rsidP="00527F15">
      <w:pPr>
        <w:spacing w:after="0"/>
      </w:pPr>
      <w:r w:rsidRPr="00B8275A">
        <w:t>Constant head boundaries</w:t>
      </w:r>
      <w:r>
        <w:t xml:space="preserve"> = Thickness of domain – WTD</w:t>
      </w:r>
    </w:p>
    <w:p w14:paraId="25A1FD63" w14:textId="37AB4161" w:rsidR="00B8275A" w:rsidRDefault="00B8275A" w:rsidP="00527F15">
      <w:pPr>
        <w:spacing w:after="0"/>
      </w:pPr>
      <w:r>
        <w:t>Left boundary = 995 m</w:t>
      </w:r>
    </w:p>
    <w:p w14:paraId="3FF7FDE8" w14:textId="580E425D" w:rsidR="00B8275A" w:rsidRDefault="00B8275A" w:rsidP="00527F15">
      <w:pPr>
        <w:spacing w:after="0"/>
      </w:pPr>
      <w:r>
        <w:t>Right boundary = 949 m</w:t>
      </w:r>
    </w:p>
    <w:p w14:paraId="270209ED" w14:textId="030A4298" w:rsidR="00913433" w:rsidRDefault="00913433" w:rsidP="00527F15">
      <w:pPr>
        <w:spacing w:after="0"/>
      </w:pPr>
    </w:p>
    <w:p w14:paraId="3BA98435" w14:textId="7082F709" w:rsidR="00913433" w:rsidRDefault="00913433" w:rsidP="00527F15">
      <w:pPr>
        <w:spacing w:after="0"/>
      </w:pPr>
      <w:r w:rsidRPr="00DC7D24">
        <w:rPr>
          <w:i/>
          <w:iCs/>
        </w:rPr>
        <w:t>Assumptions</w:t>
      </w:r>
      <w:r>
        <w:t xml:space="preserve"> </w:t>
      </w:r>
    </w:p>
    <w:p w14:paraId="6B4C0F86" w14:textId="62ED4848" w:rsidR="00DC7D24" w:rsidRDefault="00C171E2" w:rsidP="00C171E2">
      <w:pPr>
        <w:pStyle w:val="ListParagraph"/>
        <w:numPr>
          <w:ilvl w:val="0"/>
          <w:numId w:val="2"/>
        </w:numPr>
        <w:spacing w:after="0"/>
      </w:pPr>
      <w:r>
        <w:t>Hydraulic conductivity can be represented by homogenous zones distributed throughout the system</w:t>
      </w:r>
    </w:p>
    <w:p w14:paraId="43FAE193" w14:textId="4EA9168F" w:rsidR="00C171E2" w:rsidRDefault="00C171E2" w:rsidP="00C171E2">
      <w:pPr>
        <w:pStyle w:val="ListParagraph"/>
        <w:numPr>
          <w:ilvl w:val="0"/>
          <w:numId w:val="2"/>
        </w:numPr>
        <w:spacing w:after="0"/>
      </w:pPr>
      <w:r>
        <w:t>ACME Farming Corp wells are placed with greatest benefit to Wildcat Farm</w:t>
      </w:r>
    </w:p>
    <w:p w14:paraId="49315EC6" w14:textId="491C3923" w:rsidR="00C171E2" w:rsidRDefault="00C171E2" w:rsidP="00C171E2">
      <w:pPr>
        <w:pStyle w:val="ListParagraph"/>
        <w:numPr>
          <w:ilvl w:val="0"/>
          <w:numId w:val="2"/>
        </w:numPr>
        <w:spacing w:after="0"/>
      </w:pPr>
      <w:r>
        <w:t>Average southwestern agricultural evaporation rates are applicable to this situation (Hanson 1991)</w:t>
      </w:r>
    </w:p>
    <w:p w14:paraId="4A5788C6" w14:textId="20CAD46C" w:rsidR="00913433" w:rsidRDefault="00913433" w:rsidP="00527F15">
      <w:pPr>
        <w:spacing w:after="0"/>
      </w:pPr>
    </w:p>
    <w:p w14:paraId="2043EBCF" w14:textId="66534350" w:rsidR="00913433" w:rsidRPr="00913433" w:rsidRDefault="00913433" w:rsidP="00527F15">
      <w:pPr>
        <w:spacing w:after="0"/>
        <w:rPr>
          <w:i/>
          <w:iCs/>
        </w:rPr>
      </w:pPr>
      <w:r w:rsidRPr="00913433">
        <w:rPr>
          <w:i/>
          <w:iCs/>
        </w:rPr>
        <w:t>Scenario 1</w:t>
      </w:r>
      <w:r w:rsidR="008D3B91">
        <w:rPr>
          <w:i/>
          <w:iCs/>
        </w:rPr>
        <w:t xml:space="preserve"> – </w:t>
      </w:r>
      <w:r w:rsidR="007536BB">
        <w:rPr>
          <w:i/>
          <w:iCs/>
        </w:rPr>
        <w:t>Reasonable Guess</w:t>
      </w:r>
    </w:p>
    <w:p w14:paraId="1A508F38" w14:textId="2BA3D066" w:rsidR="0093780B" w:rsidRDefault="00594EF1" w:rsidP="00527F15">
      <w:pPr>
        <w:spacing w:after="0"/>
      </w:pPr>
      <w:r>
        <w:rPr>
          <w:noProof/>
        </w:rPr>
        <mc:AlternateContent>
          <mc:Choice Requires="wps">
            <w:drawing>
              <wp:anchor distT="0" distB="0" distL="114300" distR="114300" simplePos="0" relativeHeight="251660288" behindDoc="1" locked="0" layoutInCell="1" allowOverlap="1" wp14:anchorId="72D6A15B" wp14:editId="2E50A1F9">
                <wp:simplePos x="0" y="0"/>
                <wp:positionH relativeFrom="column">
                  <wp:posOffset>3820795</wp:posOffset>
                </wp:positionH>
                <wp:positionV relativeFrom="paragraph">
                  <wp:posOffset>2272665</wp:posOffset>
                </wp:positionV>
                <wp:extent cx="201803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018030" cy="635"/>
                        </a:xfrm>
                        <a:prstGeom prst="rect">
                          <a:avLst/>
                        </a:prstGeom>
                        <a:solidFill>
                          <a:prstClr val="white"/>
                        </a:solidFill>
                        <a:ln>
                          <a:noFill/>
                        </a:ln>
                      </wps:spPr>
                      <wps:txbx>
                        <w:txbxContent>
                          <w:p w14:paraId="1BA2A14E" w14:textId="5421F30B" w:rsidR="00594EF1" w:rsidRPr="00D151BB" w:rsidRDefault="00594EF1" w:rsidP="00594EF1">
                            <w:pPr>
                              <w:pStyle w:val="Caption"/>
                              <w:rPr>
                                <w:noProof/>
                              </w:rPr>
                            </w:pPr>
                            <w:r>
                              <w:t xml:space="preserve">Figure </w:t>
                            </w:r>
                            <w:r w:rsidR="00512F70">
                              <w:fldChar w:fldCharType="begin"/>
                            </w:r>
                            <w:r w:rsidR="00512F70">
                              <w:instrText xml:space="preserve"> SEQ Figure \* ARABIC </w:instrText>
                            </w:r>
                            <w:r w:rsidR="00512F70">
                              <w:fldChar w:fldCharType="separate"/>
                            </w:r>
                            <w:r w:rsidR="00512F70">
                              <w:rPr>
                                <w:noProof/>
                              </w:rPr>
                              <w:t>1</w:t>
                            </w:r>
                            <w:r w:rsidR="00512F70">
                              <w:rPr>
                                <w:noProof/>
                              </w:rPr>
                              <w:fldChar w:fldCharType="end"/>
                            </w:r>
                            <w:r>
                              <w:t xml:space="preserve"> First Scenario: The heterogeneous system is represented by three homogenous zones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D6A15B" id="_x0000_t202" coordsize="21600,21600" o:spt="202" path="m,l,21600r21600,l21600,xe">
                <v:stroke joinstyle="miter"/>
                <v:path gradientshapeok="t" o:connecttype="rect"/>
              </v:shapetype>
              <v:shape id="Text Box 7" o:spid="_x0000_s1026" type="#_x0000_t202" style="position:absolute;margin-left:300.85pt;margin-top:178.95pt;width:158.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" stroked="f">
                <v:textbox style="mso-fit-shape-to-text:t" inset="0,0,0,0">
                  <w:txbxContent>
                    <w:p w14:paraId="1BA2A14E" w14:textId="5421F30B" w:rsidR="00594EF1" w:rsidRPr="00D151BB" w:rsidRDefault="00594EF1" w:rsidP="00594EF1">
                      <w:pPr>
                        <w:pStyle w:val="Caption"/>
                        <w:rPr>
                          <w:noProof/>
                        </w:rPr>
                      </w:pPr>
                      <w:r>
                        <w:t xml:space="preserve">Figure </w:t>
                      </w:r>
                      <w:r w:rsidR="00512F70">
                        <w:fldChar w:fldCharType="begin"/>
                      </w:r>
                      <w:r w:rsidR="00512F70">
                        <w:instrText xml:space="preserve"> SEQ Figure \* ARABIC </w:instrText>
                      </w:r>
                      <w:r w:rsidR="00512F70">
                        <w:fldChar w:fldCharType="separate"/>
                      </w:r>
                      <w:r w:rsidR="00512F70">
                        <w:rPr>
                          <w:noProof/>
                        </w:rPr>
                        <w:t>1</w:t>
                      </w:r>
                      <w:r w:rsidR="00512F70">
                        <w:rPr>
                          <w:noProof/>
                        </w:rPr>
                        <w:fldChar w:fldCharType="end"/>
                      </w:r>
                      <w:r>
                        <w:t xml:space="preserve"> First Scenario: The heterogeneous system is represented by three homogenous zones</w:t>
                      </w:r>
                    </w:p>
                  </w:txbxContent>
                </v:textbox>
                <w10:wrap type="tight"/>
              </v:shape>
            </w:pict>
          </mc:Fallback>
        </mc:AlternateContent>
      </w:r>
      <w:r w:rsidR="00C171E2">
        <w:rPr>
          <w:noProof/>
        </w:rPr>
        <w:drawing>
          <wp:anchor distT="0" distB="0" distL="114300" distR="114300" simplePos="0" relativeHeight="251658240" behindDoc="1" locked="0" layoutInCell="1" allowOverlap="1" wp14:anchorId="1E893CA0" wp14:editId="6D551195">
            <wp:simplePos x="0" y="0"/>
            <wp:positionH relativeFrom="column">
              <wp:posOffset>3821289</wp:posOffset>
            </wp:positionH>
            <wp:positionV relativeFrom="paragraph">
              <wp:posOffset>83256</wp:posOffset>
            </wp:positionV>
            <wp:extent cx="2018553" cy="2132637"/>
            <wp:effectExtent l="0" t="0" r="1270" b="1270"/>
            <wp:wrapTight wrapText="bothSides">
              <wp:wrapPolygon edited="0">
                <wp:start x="0" y="0"/>
                <wp:lineTo x="0" y="21420"/>
                <wp:lineTo x="21410" y="21420"/>
                <wp:lineTo x="21410"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8553" cy="2132637"/>
                    </a:xfrm>
                    <a:prstGeom prst="rect">
                      <a:avLst/>
                    </a:prstGeom>
                  </pic:spPr>
                </pic:pic>
              </a:graphicData>
            </a:graphic>
          </wp:anchor>
        </w:drawing>
      </w:r>
      <w:r w:rsidR="0089499E">
        <w:t>In the first case</w:t>
      </w:r>
      <w:r w:rsidR="00C171E2">
        <w:t xml:space="preserve"> (conceptual model pictured above)</w:t>
      </w:r>
      <w:r w:rsidR="0089499E">
        <w:t xml:space="preserve"> hydraulic conductivities are represented in three horizontal layers. This is the simplest distribution of the ranges measured at the observation wells</w:t>
      </w:r>
      <w:r>
        <w:t xml:space="preserve"> (Fig. 1)</w:t>
      </w:r>
      <w:r w:rsidR="0089499E">
        <w:t>. Wildcat farm pumps from a single well located in its center; this location remains constant among all three cases. This instance</w:t>
      </w:r>
      <w:r w:rsidR="006550D8">
        <w:t xml:space="preserve"> places one ACME w</w:t>
      </w:r>
      <w:r w:rsidR="00C171E2">
        <w:t>e</w:t>
      </w:r>
      <w:r w:rsidR="006550D8">
        <w:t>ll in the moderate-K zone and one in the high-K zone.</w:t>
      </w:r>
    </w:p>
    <w:p w14:paraId="467E92F9" w14:textId="77777777" w:rsidR="00594EF1" w:rsidRDefault="00594EF1" w:rsidP="00527F15">
      <w:pPr>
        <w:spacing w:after="0"/>
      </w:pPr>
    </w:p>
    <w:p w14:paraId="00DC87DE" w14:textId="29EA3FB2" w:rsidR="0089499E" w:rsidRDefault="00594EF1" w:rsidP="00527F15">
      <w:pPr>
        <w:spacing w:after="0"/>
      </w:pPr>
      <w:r>
        <w:t>Q</w:t>
      </w:r>
      <w:r>
        <w:rPr>
          <w:vertAlign w:val="subscript"/>
        </w:rPr>
        <w:t>Wildcat</w:t>
      </w:r>
      <w:r>
        <w:t xml:space="preserve"> = 348 m</w:t>
      </w:r>
      <w:r>
        <w:rPr>
          <w:vertAlign w:val="superscript"/>
        </w:rPr>
        <w:t>3</w:t>
      </w:r>
      <w:r>
        <w:t>/d</w:t>
      </w:r>
    </w:p>
    <w:p w14:paraId="1A9A45D7" w14:textId="2A08E84B" w:rsidR="00594EF1" w:rsidRDefault="00594EF1" w:rsidP="00527F15">
      <w:pPr>
        <w:spacing w:after="0"/>
      </w:pPr>
      <w:r>
        <w:t>Q</w:t>
      </w:r>
      <w:r>
        <w:rPr>
          <w:vertAlign w:val="subscript"/>
        </w:rPr>
        <w:t>ACME1</w:t>
      </w:r>
      <w:r>
        <w:t xml:space="preserve"> = 4731 m</w:t>
      </w:r>
      <w:r>
        <w:rPr>
          <w:vertAlign w:val="superscript"/>
        </w:rPr>
        <w:t>3</w:t>
      </w:r>
      <w:r>
        <w:t>/d</w:t>
      </w:r>
    </w:p>
    <w:p w14:paraId="32C45FD6" w14:textId="556FB22B" w:rsidR="00594EF1" w:rsidRPr="00594EF1" w:rsidRDefault="00594EF1" w:rsidP="00527F15">
      <w:pPr>
        <w:spacing w:after="0"/>
      </w:pPr>
      <w:r>
        <w:t>Q</w:t>
      </w:r>
      <w:r>
        <w:rPr>
          <w:vertAlign w:val="subscript"/>
        </w:rPr>
        <w:t>ACME2</w:t>
      </w:r>
      <w:r>
        <w:t xml:space="preserve"> = 5731 m</w:t>
      </w:r>
      <w:r>
        <w:rPr>
          <w:vertAlign w:val="superscript"/>
        </w:rPr>
        <w:t>3</w:t>
      </w:r>
      <w:r>
        <w:t>/d</w:t>
      </w:r>
    </w:p>
    <w:p w14:paraId="00CDB22D" w14:textId="30E552F5" w:rsidR="0089499E" w:rsidRDefault="0089499E" w:rsidP="00527F15">
      <w:pPr>
        <w:spacing w:after="0"/>
      </w:pPr>
    </w:p>
    <w:p w14:paraId="34AA96BD" w14:textId="46E844CE" w:rsidR="0093780B" w:rsidRDefault="005847CA" w:rsidP="00527F15">
      <w:pPr>
        <w:spacing w:after="0"/>
      </w:pPr>
      <w:r>
        <w:t xml:space="preserve">Recharge for Wildcat Farm and ACME Farming Corp. are adjusted to .0003 m/d. </w:t>
      </w:r>
      <w:r w:rsidR="002531C3">
        <w:t>These differ from initial values calculated by the greater efficiency of alfalfa, which did not work in the model. The values used here, and holding them constant for both crops (Fig. 2) is an assumption of this scenario.</w:t>
      </w:r>
    </w:p>
    <w:p w14:paraId="4BB6FFB4" w14:textId="467E0402" w:rsidR="0093780B" w:rsidRDefault="0093780B" w:rsidP="00527F15">
      <w:pPr>
        <w:spacing w:after="0"/>
      </w:pPr>
    </w:p>
    <w:p w14:paraId="1864D910" w14:textId="7E8B250C" w:rsidR="0093780B" w:rsidRDefault="002531C3" w:rsidP="00527F15">
      <w:pPr>
        <w:spacing w:after="0"/>
      </w:pPr>
      <w:r>
        <w:rPr>
          <w:noProof/>
        </w:rPr>
        <mc:AlternateContent>
          <mc:Choice Requires="wps">
            <w:drawing>
              <wp:anchor distT="0" distB="0" distL="114300" distR="114300" simplePos="0" relativeHeight="251663360" behindDoc="1" locked="0" layoutInCell="1" allowOverlap="1" wp14:anchorId="46E89DAE" wp14:editId="51EF8079">
                <wp:simplePos x="0" y="0"/>
                <wp:positionH relativeFrom="column">
                  <wp:posOffset>0</wp:posOffset>
                </wp:positionH>
                <wp:positionV relativeFrom="paragraph">
                  <wp:posOffset>2085340</wp:posOffset>
                </wp:positionV>
                <wp:extent cx="59436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8E65D2" w14:textId="64B29E0E" w:rsidR="002531C3" w:rsidRPr="00EA2ACF" w:rsidRDefault="002531C3" w:rsidP="002531C3">
                            <w:pPr>
                              <w:pStyle w:val="Caption"/>
                              <w:rPr>
                                <w:noProof/>
                              </w:rPr>
                            </w:pPr>
                            <w:r>
                              <w:t xml:space="preserve">Figure </w:t>
                            </w:r>
                            <w:r w:rsidR="00512F70">
                              <w:fldChar w:fldCharType="begin"/>
                            </w:r>
                            <w:r w:rsidR="00512F70">
                              <w:instrText xml:space="preserve"> SEQ Figure \* ARABIC </w:instrText>
                            </w:r>
                            <w:r w:rsidR="00512F70">
                              <w:fldChar w:fldCharType="separate"/>
                            </w:r>
                            <w:r w:rsidR="00512F70">
                              <w:rPr>
                                <w:noProof/>
                              </w:rPr>
                              <w:t>2</w:t>
                            </w:r>
                            <w:r w:rsidR="00512F70">
                              <w:rPr>
                                <w:noProof/>
                              </w:rPr>
                              <w:fldChar w:fldCharType="end"/>
                            </w:r>
                            <w:r>
                              <w:t xml:space="preserve"> A single recharge value is applied over both farms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89DAE" id="Text Box 23" o:spid="_x0000_s1027" type="#_x0000_t202" style="position:absolute;margin-left:0;margin-top:164.2pt;width:4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" stroked="f">
                <v:textbox style="mso-fit-shape-to-text:t" inset="0,0,0,0">
                  <w:txbxContent>
                    <w:p w14:paraId="168E65D2" w14:textId="64B29E0E" w:rsidR="002531C3" w:rsidRPr="00EA2ACF" w:rsidRDefault="002531C3" w:rsidP="002531C3">
                      <w:pPr>
                        <w:pStyle w:val="Caption"/>
                        <w:rPr>
                          <w:noProof/>
                        </w:rPr>
                      </w:pPr>
                      <w:r>
                        <w:t xml:space="preserve">Figure </w:t>
                      </w:r>
                      <w:r w:rsidR="00512F70">
                        <w:fldChar w:fldCharType="begin"/>
                      </w:r>
                      <w:r w:rsidR="00512F70">
                        <w:instrText xml:space="preserve"> SEQ Figure \* ARABIC </w:instrText>
                      </w:r>
                      <w:r w:rsidR="00512F70">
                        <w:fldChar w:fldCharType="separate"/>
                      </w:r>
                      <w:r w:rsidR="00512F70">
                        <w:rPr>
                          <w:noProof/>
                        </w:rPr>
                        <w:t>2</w:t>
                      </w:r>
                      <w:r w:rsidR="00512F70">
                        <w:rPr>
                          <w:noProof/>
                        </w:rPr>
                        <w:fldChar w:fldCharType="end"/>
                      </w:r>
                      <w:r>
                        <w:t xml:space="preserve"> A single recharge value is applied over both farms</w:t>
                      </w:r>
                    </w:p>
                  </w:txbxContent>
                </v:textbox>
                <w10:wrap type="tight"/>
              </v:shape>
            </w:pict>
          </mc:Fallback>
        </mc:AlternateContent>
      </w:r>
      <w:r w:rsidR="005847CA">
        <w:rPr>
          <w:noProof/>
        </w:rPr>
        <w:drawing>
          <wp:anchor distT="0" distB="0" distL="114300" distR="114300" simplePos="0" relativeHeight="251661312" behindDoc="1" locked="0" layoutInCell="1" allowOverlap="1" wp14:anchorId="194E7372" wp14:editId="0BB57FC1">
            <wp:simplePos x="0" y="0"/>
            <wp:positionH relativeFrom="column">
              <wp:posOffset>0</wp:posOffset>
            </wp:positionH>
            <wp:positionV relativeFrom="paragraph">
              <wp:posOffset>-282</wp:posOffset>
            </wp:positionV>
            <wp:extent cx="5943600" cy="2028825"/>
            <wp:effectExtent l="0" t="0" r="0" b="9525"/>
            <wp:wrapTight wrapText="bothSides">
              <wp:wrapPolygon edited="0">
                <wp:start x="0" y="0"/>
                <wp:lineTo x="0" y="21499"/>
                <wp:lineTo x="21531" y="21499"/>
                <wp:lineTo x="21531" y="0"/>
                <wp:lineTo x="0" y="0"/>
              </wp:wrapPolygon>
            </wp:wrapTight>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28825"/>
                    </a:xfrm>
                    <a:prstGeom prst="rect">
                      <a:avLst/>
                    </a:prstGeom>
                  </pic:spPr>
                </pic:pic>
              </a:graphicData>
            </a:graphic>
          </wp:anchor>
        </w:drawing>
      </w:r>
      <w:r w:rsidR="00F66053">
        <w:t xml:space="preserve">This realization allows both farms to pump without depleting the water table below maximum screen depth for either farm. The left side of the domain, where the Wildcat screen depth is only 20 meters, comes close to running dry but remains in an acceptable range. </w:t>
      </w:r>
      <w:r w:rsidR="00E02B7C">
        <w:t>The distribution of head equipotentials and location of flow vectors (Figure 3) align with expected flow through each K zone.</w:t>
      </w:r>
    </w:p>
    <w:p w14:paraId="6D86EE7B" w14:textId="674B4D19" w:rsidR="007536BB" w:rsidRDefault="007536BB" w:rsidP="00527F15">
      <w:pPr>
        <w:spacing w:after="0"/>
      </w:pPr>
    </w:p>
    <w:p w14:paraId="5585F6AA" w14:textId="4ED996DE" w:rsidR="0089499E" w:rsidRDefault="0089499E" w:rsidP="00527F15">
      <w:pPr>
        <w:spacing w:after="0"/>
      </w:pPr>
    </w:p>
    <w:p w14:paraId="400DCDC2" w14:textId="77777777" w:rsidR="00E02B7C" w:rsidRDefault="00E02B7C" w:rsidP="00E02B7C">
      <w:pPr>
        <w:keepNext/>
        <w:spacing w:after="0"/>
      </w:pPr>
      <w:r>
        <w:rPr>
          <w:noProof/>
        </w:rPr>
        <w:lastRenderedPageBreak/>
        <w:drawing>
          <wp:inline distT="0" distB="0" distL="0" distR="0" wp14:anchorId="6E75D4B1" wp14:editId="6686CE94">
            <wp:extent cx="3860800" cy="2980983"/>
            <wp:effectExtent l="0" t="0" r="635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8"/>
                    <a:stretch>
                      <a:fillRect/>
                    </a:stretch>
                  </pic:blipFill>
                  <pic:spPr>
                    <a:xfrm>
                      <a:off x="0" y="0"/>
                      <a:ext cx="3867906" cy="2986470"/>
                    </a:xfrm>
                    <a:prstGeom prst="rect">
                      <a:avLst/>
                    </a:prstGeom>
                  </pic:spPr>
                </pic:pic>
              </a:graphicData>
            </a:graphic>
          </wp:inline>
        </w:drawing>
      </w:r>
    </w:p>
    <w:p w14:paraId="0B2BA215" w14:textId="385EA7BC" w:rsidR="007536BB" w:rsidRDefault="00E02B7C" w:rsidP="00E02B7C">
      <w:pPr>
        <w:pStyle w:val="Caption"/>
      </w:pPr>
      <w:r>
        <w:t xml:space="preserve">Figure </w:t>
      </w:r>
      <w:r w:rsidR="00512F70">
        <w:fldChar w:fldCharType="begin"/>
      </w:r>
      <w:r w:rsidR="00512F70">
        <w:instrText xml:space="preserve"> SEQ Figure \* ARABIC </w:instrText>
      </w:r>
      <w:r w:rsidR="00512F70">
        <w:fldChar w:fldCharType="separate"/>
      </w:r>
      <w:r w:rsidR="00512F70">
        <w:rPr>
          <w:noProof/>
        </w:rPr>
        <w:t>3</w:t>
      </w:r>
      <w:r w:rsidR="00512F70">
        <w:rPr>
          <w:noProof/>
        </w:rPr>
        <w:fldChar w:fldCharType="end"/>
      </w:r>
      <w:r>
        <w:t xml:space="preserve"> Flow vectors showing three distinct zones of hydraulic conductivity</w:t>
      </w:r>
    </w:p>
    <w:p w14:paraId="77FA2A0D" w14:textId="532C2830" w:rsidR="0076189C" w:rsidRDefault="0076189C" w:rsidP="00527F15">
      <w:pPr>
        <w:spacing w:after="0"/>
      </w:pPr>
    </w:p>
    <w:p w14:paraId="3B9E6702" w14:textId="77777777" w:rsidR="0076189C" w:rsidRDefault="0076189C" w:rsidP="00527F15">
      <w:pPr>
        <w:spacing w:after="0"/>
      </w:pPr>
    </w:p>
    <w:p w14:paraId="264928F0" w14:textId="03A8F302" w:rsidR="007536BB" w:rsidRDefault="007536BB" w:rsidP="00527F15">
      <w:pPr>
        <w:spacing w:after="0"/>
      </w:pPr>
      <w:r>
        <w:rPr>
          <w:i/>
          <w:iCs/>
        </w:rPr>
        <w:t>Scenario 2 – Worst Case</w:t>
      </w:r>
    </w:p>
    <w:p w14:paraId="037F470E" w14:textId="6155FF6C" w:rsidR="00644D8E" w:rsidRDefault="00644D8E" w:rsidP="00527F15">
      <w:pPr>
        <w:spacing w:after="0"/>
      </w:pPr>
      <w:r>
        <w:rPr>
          <w:noProof/>
        </w:rPr>
        <w:drawing>
          <wp:inline distT="0" distB="0" distL="0" distR="0" wp14:anchorId="3EB0377C" wp14:editId="772F0169">
            <wp:extent cx="5064369" cy="2748611"/>
            <wp:effectExtent l="0" t="0" r="317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9"/>
                    <a:stretch>
                      <a:fillRect/>
                    </a:stretch>
                  </pic:blipFill>
                  <pic:spPr>
                    <a:xfrm>
                      <a:off x="0" y="0"/>
                      <a:ext cx="5078440" cy="2756248"/>
                    </a:xfrm>
                    <a:prstGeom prst="rect">
                      <a:avLst/>
                    </a:prstGeom>
                  </pic:spPr>
                </pic:pic>
              </a:graphicData>
            </a:graphic>
          </wp:inline>
        </w:drawing>
      </w:r>
    </w:p>
    <w:p w14:paraId="3B34A9D3" w14:textId="545A5216" w:rsidR="00644D8E" w:rsidRDefault="00FF3FD2" w:rsidP="00527F15">
      <w:pPr>
        <w:spacing w:after="0"/>
      </w:pPr>
      <w:r>
        <w:t>For the worst-case-scenario, hydraulic conductivities were simplified into two homogeneous zones, with the largest area assigned low K. As anticipated, this drained the entire domain (Fig. 4). These structural choices were extreme for a specific purpose. In general, results such as this would prompt revisiting parameters to ensure they were representative of the real system. Figure 5 shows what the flow vectors across the K domains would be.</w:t>
      </w:r>
    </w:p>
    <w:p w14:paraId="15B1C972" w14:textId="1D5EBBF1" w:rsidR="00644D8E" w:rsidRDefault="00644D8E" w:rsidP="00527F15">
      <w:pPr>
        <w:spacing w:after="0"/>
      </w:pPr>
    </w:p>
    <w:p w14:paraId="27D460E9" w14:textId="5067135D" w:rsidR="00644D8E" w:rsidRDefault="00644D8E" w:rsidP="00527F15">
      <w:pPr>
        <w:spacing w:after="0"/>
      </w:pPr>
    </w:p>
    <w:p w14:paraId="2A4425BE" w14:textId="77777777" w:rsidR="00FF3FD2" w:rsidRDefault="0076189C" w:rsidP="00FF3FD2">
      <w:pPr>
        <w:keepNext/>
        <w:spacing w:after="0"/>
      </w:pPr>
      <w:r>
        <w:rPr>
          <w:noProof/>
        </w:rPr>
        <w:lastRenderedPageBreak/>
        <w:drawing>
          <wp:inline distT="0" distB="0" distL="0" distR="0" wp14:anchorId="1CA7A6B6" wp14:editId="57C2A766">
            <wp:extent cx="2630658" cy="2242805"/>
            <wp:effectExtent l="0" t="0" r="0" b="5715"/>
            <wp:docPr id="13" name="Picture 1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10;&#10;Description automatically generated"/>
                    <pic:cNvPicPr/>
                  </pic:nvPicPr>
                  <pic:blipFill>
                    <a:blip r:embed="rId10"/>
                    <a:stretch>
                      <a:fillRect/>
                    </a:stretch>
                  </pic:blipFill>
                  <pic:spPr>
                    <a:xfrm>
                      <a:off x="0" y="0"/>
                      <a:ext cx="2640048" cy="2250810"/>
                    </a:xfrm>
                    <a:prstGeom prst="rect">
                      <a:avLst/>
                    </a:prstGeom>
                  </pic:spPr>
                </pic:pic>
              </a:graphicData>
            </a:graphic>
          </wp:inline>
        </w:drawing>
      </w:r>
    </w:p>
    <w:p w14:paraId="3EB5DE85" w14:textId="2B3FB298" w:rsidR="00644D8E" w:rsidRDefault="00FF3FD2" w:rsidP="00FF3FD2">
      <w:pPr>
        <w:pStyle w:val="Caption"/>
      </w:pPr>
      <w:r>
        <w:t xml:space="preserve">Figure </w:t>
      </w:r>
      <w:fldSimple w:instr=" SEQ Figure \* ARABIC ">
        <w:r w:rsidR="00512F70">
          <w:rPr>
            <w:noProof/>
          </w:rPr>
          <w:t>4</w:t>
        </w:r>
      </w:fldSimple>
      <w:r>
        <w:t xml:space="preserve"> Pumping exceeds what the aquifer can support and returns a negative head value at the bottom of the well</w:t>
      </w:r>
    </w:p>
    <w:p w14:paraId="0F7AB8FF" w14:textId="77777777" w:rsidR="00FF3FD2" w:rsidRDefault="0076189C" w:rsidP="00FF3FD2">
      <w:pPr>
        <w:keepNext/>
        <w:spacing w:after="0"/>
      </w:pPr>
      <w:r>
        <w:rPr>
          <w:noProof/>
        </w:rPr>
        <w:drawing>
          <wp:inline distT="0" distB="0" distL="0" distR="0" wp14:anchorId="4DA2B284" wp14:editId="0DA2E650">
            <wp:extent cx="3720905" cy="2967183"/>
            <wp:effectExtent l="0" t="0" r="0" b="508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1"/>
                    <a:stretch>
                      <a:fillRect/>
                    </a:stretch>
                  </pic:blipFill>
                  <pic:spPr>
                    <a:xfrm>
                      <a:off x="0" y="0"/>
                      <a:ext cx="3733926" cy="2977567"/>
                    </a:xfrm>
                    <a:prstGeom prst="rect">
                      <a:avLst/>
                    </a:prstGeom>
                  </pic:spPr>
                </pic:pic>
              </a:graphicData>
            </a:graphic>
          </wp:inline>
        </w:drawing>
      </w:r>
    </w:p>
    <w:p w14:paraId="57D2D904" w14:textId="1C1C37D1" w:rsidR="0076189C" w:rsidRDefault="00FF3FD2" w:rsidP="00FF3FD2">
      <w:pPr>
        <w:pStyle w:val="Caption"/>
      </w:pPr>
      <w:r>
        <w:t xml:space="preserve">Figure </w:t>
      </w:r>
      <w:fldSimple w:instr=" SEQ Figure \* ARABIC ">
        <w:r w:rsidR="00512F70">
          <w:rPr>
            <w:noProof/>
          </w:rPr>
          <w:t>5</w:t>
        </w:r>
      </w:fldSimple>
      <w:r>
        <w:t xml:space="preserve"> Flow vectors illustrating K distribution</w:t>
      </w:r>
    </w:p>
    <w:p w14:paraId="336BFD96" w14:textId="46E278EA" w:rsidR="0076189C" w:rsidRDefault="0076189C" w:rsidP="00527F15">
      <w:pPr>
        <w:spacing w:after="0"/>
      </w:pPr>
    </w:p>
    <w:p w14:paraId="794583E5" w14:textId="2277395F" w:rsidR="0076189C" w:rsidRDefault="0076189C" w:rsidP="00527F15">
      <w:pPr>
        <w:spacing w:after="0"/>
      </w:pPr>
    </w:p>
    <w:p w14:paraId="52E0AFED" w14:textId="10C9FCB4" w:rsidR="00FF3FD2" w:rsidRDefault="00FF3FD2" w:rsidP="00527F15">
      <w:pPr>
        <w:spacing w:after="0"/>
      </w:pPr>
    </w:p>
    <w:p w14:paraId="2FF0448E" w14:textId="2F82DA26" w:rsidR="00FF3FD2" w:rsidRDefault="00FF3FD2" w:rsidP="00527F15">
      <w:pPr>
        <w:spacing w:after="0"/>
      </w:pPr>
    </w:p>
    <w:p w14:paraId="49F7A01F" w14:textId="3BC6A791" w:rsidR="00FF3FD2" w:rsidRDefault="00FF3FD2" w:rsidP="00527F15">
      <w:pPr>
        <w:spacing w:after="0"/>
      </w:pPr>
    </w:p>
    <w:p w14:paraId="4F174B81" w14:textId="653F94D9" w:rsidR="00FF3FD2" w:rsidRDefault="00FF3FD2" w:rsidP="00527F15">
      <w:pPr>
        <w:spacing w:after="0"/>
      </w:pPr>
    </w:p>
    <w:p w14:paraId="533E32EE" w14:textId="1434B618" w:rsidR="00E31828" w:rsidRDefault="00E31828" w:rsidP="00527F15">
      <w:pPr>
        <w:spacing w:after="0"/>
      </w:pPr>
    </w:p>
    <w:p w14:paraId="453A8432" w14:textId="70EE44F5" w:rsidR="00E31828" w:rsidRDefault="00E31828" w:rsidP="00527F15">
      <w:pPr>
        <w:spacing w:after="0"/>
      </w:pPr>
    </w:p>
    <w:p w14:paraId="7FD86030" w14:textId="2AEF14F0" w:rsidR="00E31828" w:rsidRDefault="00E31828" w:rsidP="00527F15">
      <w:pPr>
        <w:spacing w:after="0"/>
      </w:pPr>
    </w:p>
    <w:p w14:paraId="31030CA3" w14:textId="5D088DB3" w:rsidR="00E31828" w:rsidRDefault="00E31828" w:rsidP="00527F15">
      <w:pPr>
        <w:spacing w:after="0"/>
      </w:pPr>
    </w:p>
    <w:p w14:paraId="2C30E69E" w14:textId="6B0C0606" w:rsidR="00E31828" w:rsidRDefault="00E31828" w:rsidP="00527F15">
      <w:pPr>
        <w:spacing w:after="0"/>
      </w:pPr>
    </w:p>
    <w:p w14:paraId="47501116" w14:textId="77777777" w:rsidR="00E31828" w:rsidRDefault="00E31828" w:rsidP="00527F15">
      <w:pPr>
        <w:spacing w:after="0"/>
      </w:pPr>
    </w:p>
    <w:p w14:paraId="43C348B9" w14:textId="77777777" w:rsidR="0076189C" w:rsidRDefault="0076189C" w:rsidP="00527F15">
      <w:pPr>
        <w:spacing w:after="0"/>
      </w:pPr>
    </w:p>
    <w:p w14:paraId="79EAB3C1" w14:textId="10F3A48C" w:rsidR="0076189C" w:rsidRDefault="0076189C" w:rsidP="00527F15">
      <w:pPr>
        <w:spacing w:after="0"/>
      </w:pPr>
      <w:r>
        <w:rPr>
          <w:i/>
          <w:iCs/>
        </w:rPr>
        <w:lastRenderedPageBreak/>
        <w:t>Scenario 3 – Best Case</w:t>
      </w:r>
    </w:p>
    <w:p w14:paraId="6DFC39CA" w14:textId="0041FDA9" w:rsidR="00292318" w:rsidRDefault="00292318" w:rsidP="00527F15">
      <w:pPr>
        <w:spacing w:after="0"/>
      </w:pPr>
    </w:p>
    <w:p w14:paraId="7EACF8DC" w14:textId="65AC4B09" w:rsidR="00292318" w:rsidRDefault="00292318" w:rsidP="00527F15">
      <w:pPr>
        <w:spacing w:after="0"/>
      </w:pPr>
      <w:r>
        <w:rPr>
          <w:noProof/>
        </w:rPr>
        <w:drawing>
          <wp:inline distT="0" distB="0" distL="0" distR="0" wp14:anchorId="2E9A66D9" wp14:editId="2490065A">
            <wp:extent cx="5296486" cy="2938531"/>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2"/>
                    <a:stretch>
                      <a:fillRect/>
                    </a:stretch>
                  </pic:blipFill>
                  <pic:spPr>
                    <a:xfrm>
                      <a:off x="0" y="0"/>
                      <a:ext cx="5309595" cy="2945804"/>
                    </a:xfrm>
                    <a:prstGeom prst="rect">
                      <a:avLst/>
                    </a:prstGeom>
                  </pic:spPr>
                </pic:pic>
              </a:graphicData>
            </a:graphic>
          </wp:inline>
        </w:drawing>
      </w:r>
    </w:p>
    <w:p w14:paraId="1DC79481" w14:textId="5AF4D853" w:rsidR="00E31828" w:rsidRDefault="00E31828" w:rsidP="00527F15">
      <w:pPr>
        <w:spacing w:after="0"/>
      </w:pPr>
      <w:r>
        <w:t xml:space="preserve">The best case scenario is built on the most specific K values of the three situations explored. Specifically, a median K zone extends across both farms and contains two wells, while the second ACME well is contained in a zone of slightly higher K. </w:t>
      </w:r>
      <w:r w:rsidR="00AB3595">
        <w:t>Both ACME wells are pumping the same amount. Depth to water table remains sufficient for Wildcat farm and experiences only a moderate decrease in the lower right quadrant where ACME well 2 is located (Fig. 6).</w:t>
      </w:r>
    </w:p>
    <w:p w14:paraId="5DCFACAC" w14:textId="77777777" w:rsidR="00E31828" w:rsidRPr="00292318" w:rsidRDefault="00E31828" w:rsidP="00527F15">
      <w:pPr>
        <w:spacing w:after="0"/>
      </w:pPr>
    </w:p>
    <w:p w14:paraId="4A92EC8A" w14:textId="0189586E" w:rsidR="00AB3595" w:rsidRDefault="00292318" w:rsidP="00AB3595">
      <w:pPr>
        <w:keepNext/>
        <w:spacing w:after="0"/>
      </w:pPr>
      <w:r>
        <w:rPr>
          <w:noProof/>
        </w:rPr>
        <w:drawing>
          <wp:inline distT="0" distB="0" distL="0" distR="0" wp14:anchorId="6CADBCB5" wp14:editId="7E9118FA">
            <wp:extent cx="5943600" cy="1957705"/>
            <wp:effectExtent l="0" t="0" r="0" b="444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3"/>
                    <a:stretch>
                      <a:fillRect/>
                    </a:stretch>
                  </pic:blipFill>
                  <pic:spPr>
                    <a:xfrm>
                      <a:off x="0" y="0"/>
                      <a:ext cx="5943600" cy="1957705"/>
                    </a:xfrm>
                    <a:prstGeom prst="rect">
                      <a:avLst/>
                    </a:prstGeom>
                  </pic:spPr>
                </pic:pic>
              </a:graphicData>
            </a:graphic>
          </wp:inline>
        </w:drawing>
      </w:r>
    </w:p>
    <w:p w14:paraId="1B8468D1" w14:textId="1AB7267B" w:rsidR="0076189C" w:rsidRDefault="00AB3595" w:rsidP="00AB3595">
      <w:pPr>
        <w:pStyle w:val="Caption"/>
      </w:pPr>
      <w:r>
        <w:t xml:space="preserve">Figure </w:t>
      </w:r>
      <w:fldSimple w:instr=" SEQ Figure \* ARABIC ">
        <w:r w:rsidR="00512F70">
          <w:rPr>
            <w:noProof/>
          </w:rPr>
          <w:t>6</w:t>
        </w:r>
      </w:fldSimple>
      <w:r>
        <w:t xml:space="preserve"> Water table depth reflects the ACME well pumping in a zone of high K</w:t>
      </w:r>
    </w:p>
    <w:p w14:paraId="60A82B3D" w14:textId="5548A21B" w:rsidR="00292318" w:rsidRDefault="00292318" w:rsidP="00527F15">
      <w:pPr>
        <w:spacing w:after="0"/>
      </w:pPr>
    </w:p>
    <w:p w14:paraId="095D0FE6" w14:textId="57252EEB" w:rsidR="00292318" w:rsidRDefault="00292318" w:rsidP="00527F15">
      <w:pPr>
        <w:spacing w:after="0"/>
      </w:pPr>
    </w:p>
    <w:p w14:paraId="4885C436" w14:textId="277B775F" w:rsidR="00292318" w:rsidRDefault="00292318" w:rsidP="00527F15">
      <w:pPr>
        <w:spacing w:after="0"/>
      </w:pPr>
    </w:p>
    <w:p w14:paraId="1924B7DF" w14:textId="2E1B74E7" w:rsidR="00512F70" w:rsidRDefault="00AB3595" w:rsidP="00527F15">
      <w:pPr>
        <w:spacing w:after="0"/>
      </w:pPr>
      <w:r>
        <w:t xml:space="preserve">This case is the only one to generate an informative 3D head plot (Fig. 7), again highlighting that pumping has a significant impact on the water table but does not compromise Wildcat Farm. The head differences from a linear table and plan view head plots show </w:t>
      </w:r>
      <w:r w:rsidR="00512F70">
        <w:t>how the proximity of the wells affect the local water table (Fig. 8).</w:t>
      </w:r>
      <w:r>
        <w:t xml:space="preserve"> </w:t>
      </w:r>
    </w:p>
    <w:p w14:paraId="04C5FB28" w14:textId="77777777" w:rsidR="00AB3595" w:rsidRDefault="00AB3595" w:rsidP="00AB3595">
      <w:pPr>
        <w:keepNext/>
        <w:spacing w:after="0"/>
      </w:pPr>
      <w:r>
        <w:rPr>
          <w:noProof/>
        </w:rPr>
        <w:lastRenderedPageBreak/>
        <w:drawing>
          <wp:inline distT="0" distB="0" distL="0" distR="0" wp14:anchorId="270E0089" wp14:editId="5F375266">
            <wp:extent cx="3207434" cy="2690983"/>
            <wp:effectExtent l="0" t="0" r="0" b="0"/>
            <wp:docPr id="16" name="Picture 16"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urface chart&#10;&#10;Description automatically generated"/>
                    <pic:cNvPicPr/>
                  </pic:nvPicPr>
                  <pic:blipFill>
                    <a:blip r:embed="rId14"/>
                    <a:stretch>
                      <a:fillRect/>
                    </a:stretch>
                  </pic:blipFill>
                  <pic:spPr>
                    <a:xfrm>
                      <a:off x="0" y="0"/>
                      <a:ext cx="3218058" cy="2699897"/>
                    </a:xfrm>
                    <a:prstGeom prst="rect">
                      <a:avLst/>
                    </a:prstGeom>
                  </pic:spPr>
                </pic:pic>
              </a:graphicData>
            </a:graphic>
          </wp:inline>
        </w:drawing>
      </w:r>
    </w:p>
    <w:p w14:paraId="6646F0B5" w14:textId="150684AA" w:rsidR="00AB3595" w:rsidRDefault="00AB3595" w:rsidP="00AB3595">
      <w:pPr>
        <w:pStyle w:val="Caption"/>
      </w:pPr>
      <w:r>
        <w:t xml:space="preserve">Figure </w:t>
      </w:r>
      <w:fldSimple w:instr=" SEQ Figure \* ARABIC ">
        <w:r w:rsidR="00512F70">
          <w:rPr>
            <w:noProof/>
          </w:rPr>
          <w:t>7</w:t>
        </w:r>
      </w:fldSimple>
      <w:r>
        <w:t xml:space="preserve"> This profile shows the impact of the ACME pumping wells on head gradient</w:t>
      </w:r>
    </w:p>
    <w:p w14:paraId="2ED19E19" w14:textId="77777777" w:rsidR="00512F70" w:rsidRDefault="00AB3595" w:rsidP="00512F70">
      <w:pPr>
        <w:keepNext/>
        <w:spacing w:after="0"/>
      </w:pPr>
      <w:r>
        <w:rPr>
          <w:noProof/>
        </w:rPr>
        <w:drawing>
          <wp:inline distT="0" distB="0" distL="0" distR="0" wp14:anchorId="6E76062E" wp14:editId="40D80042">
            <wp:extent cx="2869809" cy="4263716"/>
            <wp:effectExtent l="0" t="0" r="6985" b="381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5"/>
                    <a:stretch>
                      <a:fillRect/>
                    </a:stretch>
                  </pic:blipFill>
                  <pic:spPr>
                    <a:xfrm>
                      <a:off x="0" y="0"/>
                      <a:ext cx="2876849" cy="4274175"/>
                    </a:xfrm>
                    <a:prstGeom prst="rect">
                      <a:avLst/>
                    </a:prstGeom>
                  </pic:spPr>
                </pic:pic>
              </a:graphicData>
            </a:graphic>
          </wp:inline>
        </w:drawing>
      </w:r>
    </w:p>
    <w:p w14:paraId="26E3C632" w14:textId="285A4B8B" w:rsidR="00292318" w:rsidRDefault="00512F70" w:rsidP="00512F70">
      <w:pPr>
        <w:pStyle w:val="Caption"/>
      </w:pPr>
      <w:r>
        <w:t xml:space="preserve">Figure </w:t>
      </w:r>
      <w:fldSimple w:instr=" SEQ Figure \* ARABIC ">
        <w:r>
          <w:rPr>
            <w:noProof/>
          </w:rPr>
          <w:t>8</w:t>
        </w:r>
      </w:fldSimple>
      <w:r>
        <w:t xml:space="preserve"> The best-case reasonable scenario shows that the wells are on the edge of affecting each other</w:t>
      </w:r>
    </w:p>
    <w:p w14:paraId="512DBDA2" w14:textId="51CED776" w:rsidR="00B848AB" w:rsidRDefault="00512F70" w:rsidP="00527F15">
      <w:pPr>
        <w:spacing w:after="0"/>
      </w:pPr>
      <w:r>
        <w:t>Given the assumptions required in hydrgeologic modeling, I think this best-case scenario is also the most plausible. It would be a good basis from which to explore other, more negative outcomes.</w:t>
      </w:r>
    </w:p>
    <w:p w14:paraId="42EC73BC" w14:textId="77777777" w:rsidR="00512F70" w:rsidRDefault="00512F70" w:rsidP="00527F15">
      <w:pPr>
        <w:spacing w:after="0"/>
      </w:pPr>
    </w:p>
    <w:p w14:paraId="7864F527" w14:textId="541DD04E" w:rsidR="00512F70" w:rsidRDefault="00512F70" w:rsidP="00527F15">
      <w:pPr>
        <w:spacing w:after="0"/>
      </w:pPr>
    </w:p>
    <w:p w14:paraId="16CD12FC" w14:textId="72B1FE60" w:rsidR="00512F70" w:rsidRDefault="00512F70" w:rsidP="00512F70">
      <w:pPr>
        <w:spacing w:after="0"/>
        <w:jc w:val="center"/>
      </w:pPr>
      <w:r>
        <w:t>Reference</w:t>
      </w:r>
    </w:p>
    <w:p w14:paraId="6DB4AA27" w14:textId="0420C652" w:rsidR="00B8275A" w:rsidRDefault="00B8275A" w:rsidP="00527F15">
      <w:pPr>
        <w:spacing w:after="0"/>
      </w:pPr>
      <w:r w:rsidRPr="00B8275A">
        <w:t xml:space="preserve">Hanson, R.L., 1991, Evapotranspiration and Droughts, in Paulson, R.W., Chase, E.B., Roberts, R.S., and </w:t>
      </w:r>
    </w:p>
    <w:p w14:paraId="12BF35BD" w14:textId="7E0700BF" w:rsidR="00B848AB" w:rsidRPr="0076189C" w:rsidRDefault="00B8275A" w:rsidP="00B8275A">
      <w:pPr>
        <w:spacing w:after="0"/>
        <w:ind w:left="720"/>
      </w:pPr>
      <w:r w:rsidRPr="00B8275A">
        <w:t xml:space="preserve">Moody, D.W., Compilers, </w:t>
      </w:r>
      <w:r w:rsidRPr="00B8275A">
        <w:rPr>
          <w:i/>
          <w:iCs/>
        </w:rPr>
        <w:t>National Water Summary</w:t>
      </w:r>
      <w:r w:rsidRPr="00B8275A">
        <w:t xml:space="preserve"> 1988-89--Hydrologic Events and Floods and Droughts: U.S. Geological Survey Water-Supply Paper 2375, p. 99-104.</w:t>
      </w:r>
    </w:p>
    <w:sectPr w:rsidR="00B848AB" w:rsidRPr="00761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9AD"/>
    <w:multiLevelType w:val="hybridMultilevel"/>
    <w:tmpl w:val="61940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37127"/>
    <w:multiLevelType w:val="hybridMultilevel"/>
    <w:tmpl w:val="6AEA0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FA"/>
    <w:rsid w:val="001C7EEE"/>
    <w:rsid w:val="001D4502"/>
    <w:rsid w:val="002375BD"/>
    <w:rsid w:val="002531C3"/>
    <w:rsid w:val="00292318"/>
    <w:rsid w:val="00311E16"/>
    <w:rsid w:val="00413A1C"/>
    <w:rsid w:val="00512F70"/>
    <w:rsid w:val="00527F15"/>
    <w:rsid w:val="00552185"/>
    <w:rsid w:val="005847CA"/>
    <w:rsid w:val="00594EF1"/>
    <w:rsid w:val="00616283"/>
    <w:rsid w:val="00635D8D"/>
    <w:rsid w:val="00644D8E"/>
    <w:rsid w:val="006550D8"/>
    <w:rsid w:val="007536BB"/>
    <w:rsid w:val="0076189C"/>
    <w:rsid w:val="0089499E"/>
    <w:rsid w:val="008D3B91"/>
    <w:rsid w:val="0091262C"/>
    <w:rsid w:val="00913433"/>
    <w:rsid w:val="0093780B"/>
    <w:rsid w:val="0098293C"/>
    <w:rsid w:val="00A2111C"/>
    <w:rsid w:val="00AB3595"/>
    <w:rsid w:val="00B66266"/>
    <w:rsid w:val="00B8275A"/>
    <w:rsid w:val="00B848AB"/>
    <w:rsid w:val="00C171E2"/>
    <w:rsid w:val="00C257FA"/>
    <w:rsid w:val="00DA1974"/>
    <w:rsid w:val="00DC7D24"/>
    <w:rsid w:val="00E02B7C"/>
    <w:rsid w:val="00E31828"/>
    <w:rsid w:val="00F66053"/>
    <w:rsid w:val="00FF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557A"/>
  <w15:chartTrackingRefBased/>
  <w15:docId w15:val="{82931B43-6635-469F-8AC5-15B43C8E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93C"/>
    <w:pPr>
      <w:ind w:left="720"/>
      <w:contextualSpacing/>
    </w:pPr>
  </w:style>
  <w:style w:type="character" w:styleId="Hyperlink">
    <w:name w:val="Hyperlink"/>
    <w:basedOn w:val="DefaultParagraphFont"/>
    <w:uiPriority w:val="99"/>
    <w:unhideWhenUsed/>
    <w:rsid w:val="001D4502"/>
    <w:rPr>
      <w:color w:val="0563C1" w:themeColor="hyperlink"/>
      <w:u w:val="single"/>
    </w:rPr>
  </w:style>
  <w:style w:type="character" w:styleId="UnresolvedMention">
    <w:name w:val="Unresolved Mention"/>
    <w:basedOn w:val="DefaultParagraphFont"/>
    <w:uiPriority w:val="99"/>
    <w:semiHidden/>
    <w:unhideWhenUsed/>
    <w:rsid w:val="001D4502"/>
    <w:rPr>
      <w:color w:val="605E5C"/>
      <w:shd w:val="clear" w:color="auto" w:fill="E1DFDD"/>
    </w:rPr>
  </w:style>
  <w:style w:type="character" w:styleId="FollowedHyperlink">
    <w:name w:val="FollowedHyperlink"/>
    <w:basedOn w:val="DefaultParagraphFont"/>
    <w:uiPriority w:val="99"/>
    <w:semiHidden/>
    <w:unhideWhenUsed/>
    <w:rsid w:val="00B848AB"/>
    <w:rPr>
      <w:color w:val="954F72" w:themeColor="followedHyperlink"/>
      <w:u w:val="single"/>
    </w:rPr>
  </w:style>
  <w:style w:type="paragraph" w:styleId="Caption">
    <w:name w:val="caption"/>
    <w:basedOn w:val="Normal"/>
    <w:next w:val="Normal"/>
    <w:uiPriority w:val="35"/>
    <w:unhideWhenUsed/>
    <w:qFormat/>
    <w:rsid w:val="00594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9</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4</cp:revision>
  <dcterms:created xsi:type="dcterms:W3CDTF">2022-03-17T13:14:00Z</dcterms:created>
  <dcterms:modified xsi:type="dcterms:W3CDTF">2022-03-17T21:15:00Z</dcterms:modified>
</cp:coreProperties>
</file>