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ED858" w14:textId="79206C64" w:rsidR="00E75BB6" w:rsidRDefault="00EF1A39" w:rsidP="00715A71">
      <w:pPr>
        <w:shd w:val="clear" w:color="auto" w:fill="FFFFFF"/>
        <w:spacing w:before="100" w:beforeAutospacing="1" w:after="0" w:line="240" w:lineRule="auto"/>
        <w:ind w:left="360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 w:rsidRPr="00EF1A39">
        <w:rPr>
          <w:rFonts w:ascii="Segoe UI" w:eastAsia="Times New Roman" w:hAnsi="Segoe UI" w:cs="Segoe UI"/>
          <w:color w:val="24292F"/>
          <w:sz w:val="24"/>
          <w:szCs w:val="24"/>
        </w:rPr>
        <w:drawing>
          <wp:inline distT="0" distB="0" distL="0" distR="0" wp14:anchorId="6BEB3036" wp14:editId="38A584F9">
            <wp:extent cx="3953427" cy="2829320"/>
            <wp:effectExtent l="0" t="0" r="9525" b="9525"/>
            <wp:docPr id="1" name="Picture 1" descr="Chart, lin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98F3" w14:textId="19F49E99" w:rsidR="00E75BB6" w:rsidRDefault="00E75BB6" w:rsidP="00715A71">
      <w:pPr>
        <w:shd w:val="clear" w:color="auto" w:fill="FFFFFF"/>
        <w:spacing w:after="100" w:afterAutospacing="1" w:line="240" w:lineRule="auto"/>
        <w:ind w:left="360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Figure 1. </w:t>
      </w:r>
      <w:r w:rsidRPr="00E75BB6">
        <w:rPr>
          <w:rFonts w:ascii="Segoe UI" w:eastAsia="Times New Roman" w:hAnsi="Segoe UI" w:cs="Segoe UI"/>
          <w:color w:val="24292F"/>
          <w:sz w:val="24"/>
          <w:szCs w:val="24"/>
        </w:rPr>
        <w:t>Base case boundary flows</w:t>
      </w:r>
    </w:p>
    <w:p w14:paraId="58750EBC" w14:textId="77777777" w:rsidR="00715A71" w:rsidRDefault="00715A71" w:rsidP="00715A71">
      <w:pPr>
        <w:shd w:val="clear" w:color="auto" w:fill="FFFFFF"/>
        <w:spacing w:after="100" w:afterAutospacing="1" w:line="240" w:lineRule="auto"/>
        <w:ind w:left="360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DC96889" w14:textId="65262B30" w:rsidR="008C13C9" w:rsidRPr="00E75BB6" w:rsidRDefault="008C13C9" w:rsidP="00715A71">
      <w:pPr>
        <w:shd w:val="clear" w:color="auto" w:fill="FFFFFF"/>
        <w:spacing w:before="100" w:beforeAutospacing="1" w:after="0" w:line="240" w:lineRule="auto"/>
        <w:ind w:left="360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 w:rsidRPr="008C13C9">
        <w:rPr>
          <w:rFonts w:ascii="Segoe UI" w:eastAsia="Times New Roman" w:hAnsi="Segoe UI" w:cs="Segoe UI"/>
          <w:color w:val="24292F"/>
          <w:sz w:val="24"/>
          <w:szCs w:val="24"/>
        </w:rPr>
        <w:drawing>
          <wp:inline distT="0" distB="0" distL="0" distR="0" wp14:anchorId="0453CCE6" wp14:editId="1DE83BB8">
            <wp:extent cx="3905795" cy="2772162"/>
            <wp:effectExtent l="0" t="0" r="0" b="952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7740" w14:textId="7147C31B" w:rsidR="00E75BB6" w:rsidRDefault="00E75BB6" w:rsidP="00715A71">
      <w:pPr>
        <w:shd w:val="clear" w:color="auto" w:fill="FFFFFF"/>
        <w:spacing w:before="60" w:after="100" w:afterAutospacing="1" w:line="240" w:lineRule="auto"/>
        <w:ind w:left="360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Figure 2. </w:t>
      </w:r>
      <w:r w:rsidRPr="00E75BB6">
        <w:rPr>
          <w:rFonts w:ascii="Segoe UI" w:eastAsia="Times New Roman" w:hAnsi="Segoe UI" w:cs="Segoe UI"/>
          <w:color w:val="24292F"/>
          <w:sz w:val="24"/>
          <w:szCs w:val="24"/>
        </w:rPr>
        <w:t>Base case flux through midline of domain.</w:t>
      </w:r>
    </w:p>
    <w:p w14:paraId="6914C4AA" w14:textId="7A7A6B2A" w:rsidR="008C13C9" w:rsidRPr="00E75BB6" w:rsidRDefault="008C13C9" w:rsidP="00715A71">
      <w:pPr>
        <w:shd w:val="clear" w:color="auto" w:fill="FFFFFF"/>
        <w:spacing w:before="60" w:after="0" w:line="240" w:lineRule="auto"/>
        <w:ind w:left="360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 w:rsidRPr="008C13C9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drawing>
          <wp:inline distT="0" distB="0" distL="0" distR="0" wp14:anchorId="456E188D" wp14:editId="00CB7FDB">
            <wp:extent cx="4857942" cy="3867150"/>
            <wp:effectExtent l="0" t="0" r="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584" cy="386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84FB" w14:textId="1DC327DD" w:rsidR="00E75BB6" w:rsidRDefault="00E75BB6" w:rsidP="00715A71">
      <w:pPr>
        <w:shd w:val="clear" w:color="auto" w:fill="FFFFFF"/>
        <w:spacing w:before="60" w:after="100" w:afterAutospacing="1" w:line="240" w:lineRule="auto"/>
        <w:ind w:left="360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Figure 3. </w:t>
      </w:r>
      <w:r w:rsidRPr="00E75BB6">
        <w:rPr>
          <w:rFonts w:ascii="Segoe UI" w:eastAsia="Times New Roman" w:hAnsi="Segoe UI" w:cs="Segoe UI"/>
          <w:color w:val="24292F"/>
          <w:sz w:val="24"/>
          <w:szCs w:val="24"/>
        </w:rPr>
        <w:t>Base case equipotentials and flow vectors.</w:t>
      </w:r>
    </w:p>
    <w:p w14:paraId="62DD181C" w14:textId="77777777" w:rsidR="00715A71" w:rsidRDefault="00715A71" w:rsidP="00715A71">
      <w:pPr>
        <w:shd w:val="clear" w:color="auto" w:fill="FFFFFF"/>
        <w:spacing w:before="60" w:after="100" w:afterAutospacing="1" w:line="240" w:lineRule="auto"/>
        <w:ind w:left="360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3BB13B41" w14:textId="087B4433" w:rsidR="008C13C9" w:rsidRPr="00E75BB6" w:rsidRDefault="008C13C9" w:rsidP="00715A71">
      <w:pPr>
        <w:shd w:val="clear" w:color="auto" w:fill="FFFFFF"/>
        <w:spacing w:before="60" w:after="0" w:line="240" w:lineRule="auto"/>
        <w:ind w:left="360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 w:rsidRPr="008C13C9">
        <w:rPr>
          <w:rFonts w:ascii="Segoe UI" w:eastAsia="Times New Roman" w:hAnsi="Segoe UI" w:cs="Segoe UI"/>
          <w:color w:val="24292F"/>
          <w:sz w:val="24"/>
          <w:szCs w:val="24"/>
        </w:rPr>
        <w:drawing>
          <wp:inline distT="0" distB="0" distL="0" distR="0" wp14:anchorId="7BF4099A" wp14:editId="5C21582C">
            <wp:extent cx="3924848" cy="2781688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4389" w14:textId="5180343F" w:rsidR="00E75BB6" w:rsidRDefault="00E75BB6" w:rsidP="00715A71">
      <w:pPr>
        <w:shd w:val="clear" w:color="auto" w:fill="FFFFFF"/>
        <w:spacing w:before="60" w:after="100" w:afterAutospacing="1" w:line="240" w:lineRule="auto"/>
        <w:ind w:left="360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Figure 4. </w:t>
      </w:r>
      <w:r w:rsidRPr="00E75BB6">
        <w:rPr>
          <w:rFonts w:ascii="Segoe UI" w:eastAsia="Times New Roman" w:hAnsi="Segoe UI" w:cs="Segoe UI"/>
          <w:color w:val="24292F"/>
          <w:sz w:val="24"/>
          <w:szCs w:val="24"/>
        </w:rPr>
        <w:t>Base case drawdown around centered well</w:t>
      </w:r>
    </w:p>
    <w:p w14:paraId="3E613D69" w14:textId="146007C7" w:rsidR="007D75A3" w:rsidRPr="00E75BB6" w:rsidRDefault="007D75A3" w:rsidP="00715A71">
      <w:pPr>
        <w:shd w:val="clear" w:color="auto" w:fill="FFFFFF"/>
        <w:spacing w:before="60" w:after="100" w:afterAutospacing="1" w:line="240" w:lineRule="auto"/>
        <w:ind w:left="360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 w:rsidRPr="007D75A3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drawing>
          <wp:inline distT="0" distB="0" distL="0" distR="0" wp14:anchorId="431722AD" wp14:editId="699A2854">
            <wp:extent cx="3839111" cy="2753109"/>
            <wp:effectExtent l="0" t="0" r="9525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BB01" w14:textId="5A0A046B" w:rsidR="00E75BB6" w:rsidRDefault="00E75BB6" w:rsidP="00715A71">
      <w:pPr>
        <w:shd w:val="clear" w:color="auto" w:fill="FFFFFF"/>
        <w:spacing w:before="60" w:after="100" w:afterAutospacing="1" w:line="240" w:lineRule="auto"/>
        <w:ind w:left="360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Figure 5. </w:t>
      </w:r>
      <w:r w:rsidRPr="00E75BB6">
        <w:rPr>
          <w:rFonts w:ascii="Segoe UI" w:eastAsia="Times New Roman" w:hAnsi="Segoe UI" w:cs="Segoe UI"/>
          <w:color w:val="24292F"/>
          <w:sz w:val="24"/>
          <w:szCs w:val="24"/>
        </w:rPr>
        <w:t>Moved well drawdown plot</w:t>
      </w:r>
    </w:p>
    <w:p w14:paraId="4D5857E9" w14:textId="2D640D6F" w:rsidR="007D75A3" w:rsidRPr="00E75BB6" w:rsidRDefault="007D75A3" w:rsidP="00715A71">
      <w:pPr>
        <w:shd w:val="clear" w:color="auto" w:fill="FFFFFF"/>
        <w:spacing w:before="60" w:after="100" w:afterAutospacing="1" w:line="240" w:lineRule="auto"/>
        <w:ind w:left="360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 w:rsidRPr="007D75A3">
        <w:rPr>
          <w:rFonts w:ascii="Segoe UI" w:eastAsia="Times New Roman" w:hAnsi="Segoe UI" w:cs="Segoe UI"/>
          <w:color w:val="24292F"/>
          <w:sz w:val="24"/>
          <w:szCs w:val="24"/>
        </w:rPr>
        <w:drawing>
          <wp:inline distT="0" distB="0" distL="0" distR="0" wp14:anchorId="7264238D" wp14:editId="15E74D3A">
            <wp:extent cx="5364480" cy="4272098"/>
            <wp:effectExtent l="0" t="0" r="762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632" cy="42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0635" w14:textId="4D2D9829" w:rsidR="00E75BB6" w:rsidRPr="00E75BB6" w:rsidRDefault="00E75BB6" w:rsidP="00715A71">
      <w:pPr>
        <w:shd w:val="clear" w:color="auto" w:fill="FFFFFF"/>
        <w:spacing w:before="60" w:after="100" w:afterAutospacing="1" w:line="240" w:lineRule="auto"/>
        <w:ind w:left="360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Figure 6. </w:t>
      </w:r>
      <w:r w:rsidRPr="00E75BB6">
        <w:rPr>
          <w:rFonts w:ascii="Segoe UI" w:eastAsia="Times New Roman" w:hAnsi="Segoe UI" w:cs="Segoe UI"/>
          <w:color w:val="24292F"/>
          <w:sz w:val="24"/>
          <w:szCs w:val="24"/>
        </w:rPr>
        <w:t>Moved well equipotentials and flow vectors</w:t>
      </w:r>
    </w:p>
    <w:p w14:paraId="7926813A" w14:textId="3ED9BB69" w:rsidR="007D75A3" w:rsidRDefault="007D75A3" w:rsidP="007D75A3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 w:rsidRPr="007D75A3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drawing>
          <wp:inline distT="0" distB="0" distL="0" distR="0" wp14:anchorId="41F78CB4" wp14:editId="0D3124D2">
            <wp:extent cx="2697408" cy="1916407"/>
            <wp:effectExtent l="0" t="0" r="8255" b="8255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539" cy="192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75A3">
        <w:rPr>
          <w:rFonts w:ascii="Segoe UI" w:eastAsia="Times New Roman" w:hAnsi="Segoe UI" w:cs="Segoe UI"/>
          <w:color w:val="24292F"/>
          <w:sz w:val="24"/>
          <w:szCs w:val="24"/>
        </w:rPr>
        <w:drawing>
          <wp:inline distT="0" distB="0" distL="0" distR="0" wp14:anchorId="6920A26F" wp14:editId="2E470ADE">
            <wp:extent cx="2758440" cy="1922350"/>
            <wp:effectExtent l="0" t="0" r="3810" b="1905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0595" cy="19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F1C9" w14:textId="7C9D0FCD" w:rsidR="007D75A3" w:rsidRDefault="007D75A3" w:rsidP="00715A71">
      <w:pPr>
        <w:shd w:val="clear" w:color="auto" w:fill="FFFFFF"/>
        <w:spacing w:before="60" w:after="100" w:afterAutospacing="1" w:line="240" w:lineRule="auto"/>
        <w:ind w:left="360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8C7E7DD" w14:textId="253EF486" w:rsidR="00E75BB6" w:rsidRPr="00E75BB6" w:rsidRDefault="00E75BB6" w:rsidP="00715A71">
      <w:pPr>
        <w:shd w:val="clear" w:color="auto" w:fill="FFFFFF"/>
        <w:spacing w:before="60" w:after="100" w:afterAutospacing="1" w:line="240" w:lineRule="auto"/>
        <w:ind w:left="360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Figure 7. </w:t>
      </w:r>
      <w:r w:rsidR="007D75A3">
        <w:rPr>
          <w:rFonts w:ascii="Segoe UI" w:eastAsia="Times New Roman" w:hAnsi="Segoe UI" w:cs="Segoe UI"/>
          <w:color w:val="24292F"/>
          <w:sz w:val="24"/>
          <w:szCs w:val="24"/>
        </w:rPr>
        <w:t xml:space="preserve">Plan View Head Contours of the </w:t>
      </w:r>
      <w:r w:rsidR="00FE78DE">
        <w:rPr>
          <w:rFonts w:ascii="Segoe UI" w:eastAsia="Times New Roman" w:hAnsi="Segoe UI" w:cs="Segoe UI"/>
          <w:color w:val="24292F"/>
          <w:sz w:val="24"/>
          <w:szCs w:val="24"/>
        </w:rPr>
        <w:t>non-centered well (left) and centered well (right)</w:t>
      </w:r>
    </w:p>
    <w:p w14:paraId="7C205919" w14:textId="77777777" w:rsidR="00342E87" w:rsidRDefault="00FE78DE" w:rsidP="00E75BB6"/>
    <w:sectPr w:rsidR="00342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538D4"/>
    <w:multiLevelType w:val="multilevel"/>
    <w:tmpl w:val="C5E0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B6"/>
    <w:rsid w:val="00324CC6"/>
    <w:rsid w:val="00715A71"/>
    <w:rsid w:val="007D75A3"/>
    <w:rsid w:val="008C13C9"/>
    <w:rsid w:val="00DA25EE"/>
    <w:rsid w:val="00DA7ADF"/>
    <w:rsid w:val="00E75BB6"/>
    <w:rsid w:val="00EA1F74"/>
    <w:rsid w:val="00EF1A39"/>
    <w:rsid w:val="00FE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33EC"/>
  <w15:chartTrackingRefBased/>
  <w15:docId w15:val="{C8D3475E-C473-44B0-8D8A-625675DF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2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4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3</cp:revision>
  <dcterms:created xsi:type="dcterms:W3CDTF">2022-02-11T01:45:00Z</dcterms:created>
  <dcterms:modified xsi:type="dcterms:W3CDTF">2022-02-11T22:07:00Z</dcterms:modified>
</cp:coreProperties>
</file>