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64748B"/>
          <w:sz w:val="18"/>
          <w:szCs w:val="18"/>
        </w:rPr>
        <w:t xml:space="preserve">WESTON COLLEGE GROUP</w:t>
      </w:r>
    </w:p>
    <w:p>
      <w:pPr>
        <w:spacing w:before="0" w:after="80"/>
      </w:pPr>
      <w:r>
        <w:rPr>
          <w:rFonts w:ascii="Arial" w:cs="Arial" w:eastAsia="Arial" w:hAnsi="Arial"/>
          <w:color w:val="64748B"/>
          <w:sz w:val="20"/>
          <w:szCs w:val="20"/>
        </w:rPr>
        <w:t xml:space="preserve">Digital Pedagogy  |  Quality Team</w:t>
      </w:r>
    </w:p>
    <w:p>
      <w:pPr>
        <w:spacing w:before="200" w:after="0"/>
      </w:pPr>
      <w:r>
        <w:t xml:space="preserve"/>
      </w:r>
    </w:p>
    <w:p>
      <w:pPr>
        <w:spacing w:before="0" w:after="120"/>
      </w:pPr>
      <w:r>
        <w:rPr>
          <w:rFonts w:ascii="Arial" w:cs="Arial" w:eastAsia="Arial" w:hAnsi="Arial"/>
          <w:b/>
          <w:bCs/>
          <w:color w:val="0D2240"/>
          <w:sz w:val="52"/>
          <w:szCs w:val="52"/>
        </w:rPr>
        <w:t xml:space="preserve">Digital Skills Framework</w:t>
      </w:r>
    </w:p>
    <w:p>
      <w:pPr>
        <w:spacing w:before="0" w:after="200"/>
      </w:pPr>
      <w:r>
        <w:rPr>
          <w:rFonts w:ascii="Arial" w:cs="Arial" w:eastAsia="Arial" w:hAnsi="Arial"/>
          <w:b/>
          <w:bCs/>
          <w:color w:val="0A7EA4"/>
          <w:sz w:val="36"/>
          <w:szCs w:val="36"/>
        </w:rPr>
        <w:t xml:space="preserve">2026 to 2027</w:t>
      </w:r>
    </w:p>
    <w:p>
      <w:pPr>
        <w:pBdr>
          <w:bottom w:val="single" w:color="0A7EA4" w:sz="6" w:space="4"/>
        </w:pBdr>
        <w:spacing w:before="0" w:after="280"/>
      </w:pPr>
      <w:r>
        <w:rPr>
          <w:rFonts w:ascii="Arial" w:cs="Arial" w:eastAsia="Arial" w:hAnsi="Arial"/>
          <w:i/>
          <w:iCs/>
          <w:color w:val="334155"/>
          <w:sz w:val="24"/>
          <w:szCs w:val="24"/>
        </w:rPr>
        <w:t xml:space="preserve">A shared language for digital skills development across all 30 curriculum areas</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7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Graeme Wright, Digital Pedagogy Coach, Quality Team</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7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March 2026</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026"/>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r>
              <w:rPr>
                <w:rFonts w:ascii="Arial" w:cs="Arial" w:eastAsia="Arial" w:hAnsi="Arial"/>
                <w:b/>
                <w:bCs/>
                <w:color w:val="B45309"/>
                <w:sz w:val="20"/>
                <w:szCs w:val="20"/>
              </w:rPr>
              <w:t xml:space="preserve">Consultation document. For discussion.</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Accessibility</w:t>
            </w:r>
          </w:p>
        </w:tc>
        <w:tc>
          <w:tcPr>
            <w:tcW w:type="dxa" w:w="7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WCAG 2.2 AA compliant</w:t>
            </w:r>
          </w:p>
        </w:tc>
      </w:tr>
    </w:tbl>
    <w:p>
      <w:r>
        <w:br w:type="page"/>
      </w:r>
    </w:p>
    <w:p>
      <w:pPr>
        <w:pStyle w:val="Heading1"/>
        <w:spacing w:before="360" w:after="200"/>
      </w:pPr>
      <w:r>
        <w:rPr>
          <w:rFonts w:ascii="Arial" w:cs="Arial" w:eastAsia="Arial" w:hAnsi="Arial"/>
          <w:b/>
          <w:bCs/>
          <w:color w:val="0D2240"/>
          <w:sz w:val="36"/>
          <w:szCs w:val="36"/>
        </w:rPr>
        <w:t xml:space="preserve">What this document is and how to use it</w:t>
      </w:r>
    </w:p>
    <w:p>
      <w:pPr>
        <w:spacing w:before="60" w:after="160"/>
      </w:pPr>
      <w:r>
        <w:rPr>
          <w:rFonts w:ascii="Arial" w:cs="Arial" w:eastAsia="Arial" w:hAnsi="Arial"/>
          <w:b w:val="false"/>
          <w:bCs w:val="false"/>
          <w:i w:val="false"/>
          <w:iCs w:val="false"/>
          <w:color w:val="334155"/>
          <w:sz w:val="22"/>
          <w:szCs w:val="22"/>
        </w:rPr>
        <w:t xml:space="preserve">The Digital Skills Framework is a reference document I have developed to create a shared language for digital skills conversations across all 30 curriculum areas at Weston College. It maps each area to the DfE Essential Digital Skills categories and to the industry specific tools that employers in those sectors actually use.</w:t>
      </w:r>
    </w:p>
    <w:p>
      <w:pPr>
        <w:spacing w:before="60" w:after="160"/>
      </w:pPr>
      <w:r>
        <w:rPr>
          <w:rFonts w:ascii="Arial" w:cs="Arial" w:eastAsia="Arial" w:hAnsi="Arial"/>
          <w:b w:val="false"/>
          <w:bCs w:val="false"/>
          <w:i w:val="false"/>
          <w:iCs w:val="false"/>
          <w:color w:val="334155"/>
          <w:sz w:val="22"/>
          <w:szCs w:val="22"/>
        </w:rPr>
        <w:t xml:space="preserve">It is not a policy document. It is a coaching tool. I open it at the relevant area in every Head of Area meeting, and I use what is there as a conversation starter rather than a conclusion. The question I am asking is: does any of this already happen in your area? If so, where, and is it being named and evidenced as digital skills development? If not, is it something that should be, and what would it 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A7EA4" w:sz="16"/>
              <w:bottom w:val="none"/>
              <w:right w:val="none"/>
            </w:tcBorders>
            <w:shd w:fill="E8F4F9"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principle I keep coming back to</w:t>
            </w:r>
          </w:p>
          <w:p>
            <w:pPr>
              <w:spacing w:before="0" w:after="0"/>
            </w:pPr>
            <w:r>
              <w:rPr>
                <w:rFonts w:ascii="Arial" w:cs="Arial" w:eastAsia="Arial" w:hAnsi="Arial"/>
                <w:color w:val="334155"/>
                <w:sz w:val="21"/>
                <w:szCs w:val="21"/>
              </w:rPr>
              <w:t xml:space="preserve">Never teach the technology. Teach the task that technology enables. A construction learner does not need to learn about QR codes. They need to clock in on site, submit a digital site diary, and order materials from a supplier portal. The apps are how they do it. When it is framed that way, digital stops being a separate burden and becomes part of the fabric of vocational practice.</w:t>
            </w:r>
          </w:p>
        </w:tc>
      </w:tr>
    </w:tbl>
    <w:p>
      <w:pPr>
        <w:spacing w:before="120" w:after="0"/>
      </w:pPr>
      <w:r>
        <w:t xml:space="preserve"/>
      </w:r>
    </w:p>
    <w:p>
      <w:pPr>
        <w:spacing w:before="60" w:after="160"/>
      </w:pPr>
      <w:r>
        <w:rPr>
          <w:rFonts w:ascii="Arial" w:cs="Arial" w:eastAsia="Arial" w:hAnsi="Arial"/>
          <w:b w:val="false"/>
          <w:bCs w:val="false"/>
          <w:i w:val="false"/>
          <w:iCs w:val="false"/>
          <w:color w:val="334155"/>
          <w:sz w:val="22"/>
          <w:szCs w:val="22"/>
        </w:rPr>
        <w:t xml:space="preserve">The framework is structured in eight sections. This document covers all eight in full. Section 3, the full 30 area curriculum mapping, is the section I use most frequently in coaching conversations. It is proposed mapping, not audit findings. Heads of Area will confirm, challenge, and add to it as conversations develop.</w:t>
      </w:r>
    </w:p>
    <w:p>
      <w:r>
        <w:br w:type="page"/>
      </w:r>
    </w:p>
    <w:p>
      <w:pPr>
        <w:pStyle w:val="Heading1"/>
        <w:spacing w:before="360" w:after="200"/>
      </w:pPr>
      <w:r>
        <w:rPr>
          <w:rFonts w:ascii="Arial" w:cs="Arial" w:eastAsia="Arial" w:hAnsi="Arial"/>
          <w:b/>
          <w:bCs/>
          <w:color w:val="0D2240"/>
          <w:sz w:val="36"/>
          <w:szCs w:val="36"/>
        </w:rPr>
        <w:t xml:space="preserve">Section 1: The Top 10 Digital Skills for Employment and Life</w:t>
      </w:r>
    </w:p>
    <w:p>
      <w:pPr>
        <w:spacing w:before="240" w:after="60"/>
      </w:pPr>
      <w:r>
        <w:rPr>
          <w:rFonts w:ascii="Arial" w:cs="Arial" w:eastAsia="Arial" w:hAnsi="Arial"/>
          <w:b/>
          <w:bCs/>
          <w:caps/>
          <w:color w:val="0A7EA4"/>
          <w:sz w:val="18"/>
          <w:szCs w:val="18"/>
        </w:rPr>
        <w:t xml:space="preserve">2026 Universal Baseline</w:t>
      </w:r>
    </w:p>
    <w:p>
      <w:pPr>
        <w:spacing w:before="60" w:after="160"/>
      </w:pPr>
      <w:r>
        <w:rPr>
          <w:rFonts w:ascii="Arial" w:cs="Arial" w:eastAsia="Arial" w:hAnsi="Arial"/>
          <w:b w:val="false"/>
          <w:bCs w:val="false"/>
          <w:i w:val="false"/>
          <w:iCs w:val="false"/>
          <w:color w:val="334155"/>
          <w:sz w:val="22"/>
          <w:szCs w:val="22"/>
        </w:rPr>
        <w:t xml:space="preserve">These ten skills represent the universal baseline that every learner, employee, and citizen needs in 2026. They are drawn from three sources: the DfE Essential Digital Skills Framework, the FutureDotNow AI updated EDS from October 2025, and the World Economic Forum Future of Jobs Report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426"/>
        <w:gridCol w:w="2000"/>
      </w:tblGrid>
      <w:tr>
        <w:trPr>
          <w:tblHeader/>
        </w:trPr>
        <w:tc>
          <w:tcPr>
            <w:tcW w:type="dxa" w:w="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2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4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Literacy and Prompt Skills</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Understanding what AI tools are, how to use them safely and ethically, how to write effective prompts, and how to critically evaluate AI generated outputs rather than accept them</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Emerging Priority</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02</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Communication and Collaboration</w:t>
            </w:r>
          </w:p>
        </w:tc>
        <w:tc>
          <w:tcPr>
            <w:tcW w:type="dxa" w:w="4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Effective and professional use of email, messaging, video calls, and shared document platforms in learning and workplace contexts, not just recreational use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Universal</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Information and Data Handling</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Finding reliable information, evaluating sources critically, organising data, and using it to make evidence based decisions or produce evidence based work</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Core EDS</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04</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Online Safety and Cybersecurity</w:t>
            </w:r>
          </w:p>
        </w:tc>
        <w:tc>
          <w:tcPr>
            <w:tcW w:type="dxa" w:w="4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Strong passwords, recognising phishing, enabling two factor authentication, understanding privacy settings, protecting personal and organisational data</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Safety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Productivity Tools</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Confident use of word processing, spreadsheets, presentations, calendars, and cloud storage for work and study. Often a much bigger assumption of competency than it should be.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Core EDS</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06</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Problem Solving with Technology</w:t>
            </w:r>
          </w:p>
        </w:tc>
        <w:tc>
          <w:tcPr>
            <w:tcW w:type="dxa" w:w="4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Using digital tools to find solutions, troubleshoot issues, and adapt to new software without needing step by step guidance every time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Applied</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07</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Transactions and Services</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Online payments, digital forms, tax returns, booking appointments, and using government and financial services independently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Life and Work</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08</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Creating and Sharing Digital Content</w:t>
            </w:r>
          </w:p>
        </w:tc>
        <w:tc>
          <w:tcPr>
            <w:tcW w:type="dxa" w:w="4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Producing presentations, documents, short videos, infographics, and professional social media posts for defined purposes and real audiences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Creative</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09</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Virtual Collaboration and Remote Working</w:t>
            </w:r>
          </w:p>
        </w:tc>
        <w:tc>
          <w:tcPr>
            <w:tcW w:type="dxa" w:w="4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Working effectively in digitally mediated environments: Teams, Zoom, shared cloud documents, digital project management, and professional digital etiquette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Work</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10</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Wellbeing and Inclusion</w:t>
            </w:r>
          </w:p>
        </w:tc>
        <w:tc>
          <w:tcPr>
            <w:tcW w:type="dxa" w:w="4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Maintaining healthy screen habits, understanding technology's impact on wellbeing, and designing or using accessible digital content that works for everyone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Inclusion</w:t>
            </w:r>
          </w:p>
        </w:tc>
      </w:tr>
    </w:tbl>
    <w:p>
      <w:pPr>
        <w:spacing w:before="120" w:after="0"/>
      </w:pPr>
      <w:r>
        <w:t xml:space="preserve"/>
      </w:r>
    </w:p>
    <w:p>
      <w:pPr>
        <w:spacing w:before="60" w:after="160"/>
      </w:pPr>
      <w:r>
        <w:rPr>
          <w:rFonts w:ascii="Arial" w:cs="Arial" w:eastAsia="Arial" w:hAnsi="Arial"/>
          <w:b w:val="false"/>
          <w:bCs w:val="false"/>
          <w:i w:val="false"/>
          <w:iCs w:val="false"/>
          <w:color w:val="64748B"/>
          <w:sz w:val="22"/>
          <w:szCs w:val="22"/>
        </w:rPr>
        <w:t xml:space="preserve">Sources: DfE Essential Digital Skills Framework (gov.uk/government/publications/essential-digital-skills-framework) | FutureDotNow AI Updated EDS October 2025 (futuredotnow.uk) | WEF Future of Jobs 2025 (weforum.org)</w:t>
      </w:r>
    </w:p>
    <w:p>
      <w:r>
        <w:br w:type="page"/>
      </w:r>
    </w:p>
    <w:p>
      <w:pPr>
        <w:pStyle w:val="Heading1"/>
        <w:spacing w:before="360" w:after="200"/>
      </w:pPr>
      <w:r>
        <w:rPr>
          <w:rFonts w:ascii="Arial" w:cs="Arial" w:eastAsia="Arial" w:hAnsi="Arial"/>
          <w:b/>
          <w:bCs/>
          <w:color w:val="0D2240"/>
          <w:sz w:val="36"/>
          <w:szCs w:val="36"/>
        </w:rPr>
        <w:t xml:space="preserve">Section 2: General Digital Skills</w:t>
      </w:r>
    </w:p>
    <w:p>
      <w:pPr>
        <w:spacing w:before="240" w:after="60"/>
      </w:pPr>
      <w:r>
        <w:rPr>
          <w:rFonts w:ascii="Arial" w:cs="Arial" w:eastAsia="Arial" w:hAnsi="Arial"/>
          <w:b/>
          <w:bCs/>
          <w:caps/>
          <w:color w:val="0A7EA4"/>
          <w:sz w:val="18"/>
          <w:szCs w:val="18"/>
        </w:rPr>
        <w:t xml:space="preserve">For Learning, For Work, For Society</w:t>
      </w:r>
    </w:p>
    <w:p>
      <w:pPr>
        <w:spacing w:before="60" w:after="160"/>
      </w:pPr>
      <w:r>
        <w:rPr>
          <w:rFonts w:ascii="Arial" w:cs="Arial" w:eastAsia="Arial" w:hAnsi="Arial"/>
          <w:b w:val="false"/>
          <w:bCs w:val="false"/>
          <w:i w:val="false"/>
          <w:iCs w:val="false"/>
          <w:color w:val="334155"/>
          <w:sz w:val="22"/>
          <w:szCs w:val="22"/>
        </w:rPr>
        <w:t xml:space="preserve">The five EDS categories applied across three contexts. I use this section when a Head of Area says their area does not do much digital. It helps to show that digital skills for learning and life are already embedded in most provision, even when they are not named as such. The five categories are: Communicating; Handling Information and Content; Transacting; Problem Solving; Being Safe and Legal Online.</w:t>
      </w:r>
    </w:p>
    <w:p>
      <w:pPr>
        <w:pStyle w:val="Heading2"/>
        <w:spacing w:before="280" w:after="160"/>
      </w:pPr>
      <w:r>
        <w:rPr>
          <w:rFonts w:ascii="Arial" w:cs="Arial" w:eastAsia="Arial" w:hAnsi="Arial"/>
          <w:b/>
          <w:bCs/>
          <w:color w:val="0D2240"/>
          <w:sz w:val="28"/>
          <w:szCs w:val="28"/>
        </w:rPr>
        <w:t xml:space="preserve">For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40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EDS Category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Navigating digital platforms</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Using VLEs, Microsoft Teams, SharePoint, and college portals to access timetables, resources, and learning materials independently, not just when prompted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Problem Solving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Research and information literacy</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Searching effectively using specific terms and multiple sources. Evaluating source credibility, publication dates, and author authority. Identifying AI generated misinformation, a much bigger challenge than it was two years ago.</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Handling Information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note taking and organisation</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Using OneNote, Google Docs, or equivalent for organised, retrievable notes. Creating folder structures and naming conventions. Managing version history.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Handling Information</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Collaborative digital working</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 editing shared documents in real time, contributing to group Teams channels, completing peer review tasks digitally, and managing asynchronous collaboration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Communicating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assisted learning</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Using AI tools to support research, drafting, and self quizzing, with full understanding of academic integrity and institutional AI policies. Not passive reliance. Active, critical use.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Handling Information</w:t>
            </w:r>
          </w:p>
        </w:tc>
      </w:tr>
    </w:tbl>
    <w:p>
      <w:pPr>
        <w:pStyle w:val="Heading2"/>
        <w:spacing w:before="280" w:after="160"/>
      </w:pPr>
      <w:r>
        <w:rPr>
          <w:rFonts w:ascii="Arial" w:cs="Arial" w:eastAsia="Arial" w:hAnsi="Arial"/>
          <w:b/>
          <w:bCs/>
          <w:color w:val="0D2240"/>
          <w:sz w:val="28"/>
          <w:szCs w:val="28"/>
        </w:rPr>
        <w:t xml:space="preserve">For the World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40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EDS Category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Professional communication</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Email and Teams etiquette, video call protocol, appropriate tone for digital workplace communication. Knowing when to use email versus a message versus a call. A genuine skill gap in most cohorts.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Communicating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Productivity and office applications</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Confident use of Word, Excel with formulae, PowerPoint, cloud storage, and Outlook calendar. Understanding how applications can be combined to improve efficiency.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Problem Solving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transactions and invoicing</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Online payments, basic invoicing via Xero or Sage, submitting VAT returns digitally, managing work related financial records. HMRC Making Tax Digital awareness is now essential for any learner going into self employment.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Transacting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Data handling and record keeping</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Accurate digital data entry, understanding GDPR obligations, maintaining compliant records, and interpreting basic workplace data</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Handling Information; Being Safe and Legal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literacy for the workplace</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Using AI assistants to draft, summarise, and research. Evaluating outputs critically. Understanding ethical use, prompt engineering basics, and the limitations of AI tools.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Handling Information</w:t>
            </w:r>
          </w:p>
        </w:tc>
      </w:tr>
    </w:tbl>
    <w:p>
      <w:pPr>
        <w:pStyle w:val="Heading2"/>
        <w:spacing w:before="280" w:after="160"/>
      </w:pPr>
      <w:r>
        <w:rPr>
          <w:rFonts w:ascii="Arial" w:cs="Arial" w:eastAsia="Arial" w:hAnsi="Arial"/>
          <w:b/>
          <w:bCs/>
          <w:color w:val="0D2240"/>
          <w:sz w:val="28"/>
          <w:szCs w:val="28"/>
        </w:rPr>
        <w:t xml:space="preserve">For Societal Inclusion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40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EDS Category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Accessing public and government services</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Gov.UK digital services, Universal Credit portal, NHS App, local council online forms, HMRC self assessment. These are not optional skills. They are infrastructure for independent living.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Transacting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Online safety and privacy</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Password managers, two factor authentication, recognising phishing and social engineering, GDPR basics, reviewing social media privacy settings actively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Being Safe and Legal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financial inclusion</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Online banking, comparing providers digitally, avoiding scams, understanding digital payment systems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Transacting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Critical engagement with media</w:t>
            </w:r>
          </w:p>
        </w:tc>
        <w:tc>
          <w:tcPr>
            <w:tcW w:type="dxa" w:w="4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Identifying misinformation, understanding algorithmic bias and filter bubbles, responsible social media use, understanding sponsored versus editorial content</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Handling Information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wellbeing and accessibility</w:t>
            </w:r>
          </w:p>
        </w:tc>
        <w:tc>
          <w:tcPr>
            <w:tcW w:type="dxa" w:w="4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Screen time management, understanding technology's impact on mental health, using and creating accessible digital content to WCAG 2.2 standards, assistive technology awareness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Being Safe and Legal</w:t>
            </w:r>
          </w:p>
        </w:tc>
      </w:tr>
    </w:tbl>
    <w:p>
      <w:r>
        <w:br w:type="page"/>
      </w:r>
    </w:p>
    <w:p>
      <w:pPr>
        <w:pStyle w:val="Heading1"/>
        <w:spacing w:before="360" w:after="200"/>
      </w:pPr>
      <w:r>
        <w:rPr>
          <w:rFonts w:ascii="Arial" w:cs="Arial" w:eastAsia="Arial" w:hAnsi="Arial"/>
          <w:b/>
          <w:bCs/>
          <w:color w:val="0D2240"/>
          <w:sz w:val="36"/>
          <w:szCs w:val="36"/>
        </w:rPr>
        <w:t xml:space="preserve">Section 3: All 30 Curriculum Areas</w:t>
      </w:r>
    </w:p>
    <w:p>
      <w:pPr>
        <w:spacing w:before="240" w:after="60"/>
      </w:pPr>
      <w:r>
        <w:rPr>
          <w:rFonts w:ascii="Arial" w:cs="Arial" w:eastAsia="Arial" w:hAnsi="Arial"/>
          <w:b/>
          <w:bCs/>
          <w:caps/>
          <w:color w:val="0A7EA4"/>
          <w:sz w:val="18"/>
          <w:szCs w:val="18"/>
        </w:rPr>
        <w:t xml:space="preserve">Proposed Digital Skills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B45309" w:sz="16"/>
              <w:bottom w:val="none"/>
              <w:right w:val="none"/>
            </w:tcBorders>
            <w:shd w:fill="FEF3C7"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A note on how to read this section</w:t>
            </w:r>
          </w:p>
          <w:p>
            <w:pPr>
              <w:spacing w:before="0" w:after="0"/>
            </w:pPr>
            <w:r>
              <w:rPr>
                <w:rFonts w:ascii="Arial" w:cs="Arial" w:eastAsia="Arial" w:hAnsi="Arial"/>
                <w:color w:val="334155"/>
                <w:sz w:val="21"/>
                <w:szCs w:val="21"/>
              </w:rPr>
              <w:t xml:space="preserve">The core digital skills column shows what every learner in that area should be developing as a minimum. The subject digital tools column shows the industry specific tools that employers in that sector expect. The context column notes progression routes and any specific intelligence that shapes the conversation. This mapping is a starting point. HoA conversations will confirm, challenge, and improve it.</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Arts and Creative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AGF</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Arts, Graphics and Fashion</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research; content creation; portfolio development; professional social media presence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Adobe CC (Photoshop, Illustrator, InDesign); Canva Pro; CLO 3D; Adobe Firefly; Behance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L1 to L3 FE; HND/BA at UCW. Adobe CC proficiency is the industry baseline, not optional.</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GMA</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Games, Media and Animation</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Complex software navigation; digital project management; version control via Git; client brief interpretation</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Unity and Unreal Engine; Autodesk Maya and Blender; Adobe Premiere and After Effects; Toon Boom; Git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L2 to L3 FE; HND/BA Game Design. UK games industry employs approximately 50,000 people.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PAP</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Performance and Production</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research; professional social media; online booking platforms; video self review and self tape production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GarageBand, Logic, Ableton; QLab for show control; Spotlight and Mandy casting platforms; digital sound desks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L3 FE; BA Performing Arts at UCW. Digital self tape skills are now a baseline employability requirement.</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Construction and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BUI</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Building Services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handling; digital invoicing; QR code clock in; professional communication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AutoCAD and Revit for BIM; Fieldwire and Procore; digital laser levels; Sage and Xero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L1 to L3 FE; T Level Construction. BIM Level 2 is a UK government procurement requirement.</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CON</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Construction Trades</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record keeping; digital clock in; ordering via digital portals; health and safety apps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QR site sign in via Site App Pro and Fieldwire; digital measuring devices; trade supplier portals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L1 to L2 FE trades. CSCS card holders use digital clock in and delivery notes as standard.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EFE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Engineering WBL</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Technical documentation; ERP and MRP data entry; professional email and digital reporting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CAD/CAM via SolidWorks and Fusion 360; ERP systems via SAP and Oracle; IoT sensor monitoring</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Apprenticeship based. All EPA standards require digital evidence. Smart Assessor is the primary tracking tool.</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EHE</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Engineering Higher Education</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Complex data analysis; technical report writing; simulation software</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ANSYS and MATLAB; AutoCAD and Revit advanced; Python and MATLAB scripting; digital twin technologies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HNC, HND, BEng at UCW, Bath Spa, and UWE. GKN Aerospace and Rolls Royce partnerships shape employer expectations directly.</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EMV</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Engineering and Motor Vehicle</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Technical documentation; diagnostic data interpretation; parts ordering portals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OBD II digital diagnostics; VW, Bosch, and ALLDATA software; TecDoc and Haynes Pro; EV battery management; ADAS calibration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L1 to L3 FE; IMI apprenticeships. The EV transition makes battery management and ADAS digital skills critical for every technician now.</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ENG</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Engineering (General)</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CAD and technical drawing; data analysis; technical documentation; manufacturing simulation</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AutoCAD and Fusion 360; CNC programming interfaces; Excel for engineering; PCB design; 3D printing workflow</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L2 to L3 T Level Engineering. SWSC Future Technology Centre context.</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Business and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BUS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Business and Tourism</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Spreadsheets and data analysis; professional email; digital marketing; research and report writing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Xero and QuickBooks; CRM via Salesforce and HubSpot; Power BI and Excel advanced; Google Analytics and SEO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L3, A Level, T Level Business. WEF 2025: data analysis and AI literacy are the fastest growing business skills globally.</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DCI</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Computing and IT</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All EDS skills; programming fundamentals; networks; cybersecurity basics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Python, JavaScript, and SQL; Azure and AWS; cybersecurity tools including Wireshark and Kali; GitHub; Figma</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L2 to L3 FE; A Level Computer Science; HND/BSc Computing. A natural home for the Digital Champions programme.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PRA</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Professional Apprenticeships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All five EDS work categories; sector specific software; ePortfolio and EPA evidence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Smart Assessor; eILP tools; sector specific platforms; digital CPD logs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L5 apprenticeships. All EPA standards require digital evidence.</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PRS</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Professional Studies</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Academic digital research; referencing tools; report writing; presentation</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Microsoft Office and Google Workspace advanced; Zotero and Mendeley; SPSS and Excel; AI summarisation tools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HE, Access to HE, and professional qualifications. Digital research confidence is a documented gap for adult returners in this area.</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Health, Care and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EEY</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Education and Early Years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child observation recording; professional communication; GDPR in early years settings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Tapestry and Evidence Me; EYFS digital tracking; Scratch and coding toys; Seesaw and Class Dojo</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L3, T Level Education and Early Years, reformed August 2025. Settings increasingly require digital observation software literacy from day one.</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HAC</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Health including T Level Health and Science</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record keeping; patient data handling; GDPR and Caldicott principles; telehealth</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SystmOne and EMIS; NHS Digital portals; e Prescribing and MAR chart software; telehealth platforms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L2 to L3, T Level Health and Science; FdSc and BSc at UCW. NHS Digital strategy mandates electronic record keeping across all settings.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FEH</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Supported Employment Excellence</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Basic device navigation; email for job applications; online job search; Universal Credit portal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Indeed and Reed; Gov.UK digital services; digital CV tools; accessible technology for employment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Supported employment pathway. Digital skills are a primary employment barrier for this cohort. Hybrid readiness for medical absences is an urgent need.</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English, Maths and ESOL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EGL</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English</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Word processing; digital research and referencing; accessibility tools; professional writing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Microsoft Word and Google Docs; Grammarly; Immersive Reader; Canva and Padlet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GCSE, Functional Skills L1 to L2, A Level. Immersive Reader should be demonstrated to every English learner at induction as a matter of course.</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ESO</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ESOL</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Device setup and basic navigation; translation apps; accessing public services online</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Google Translate and DeepL; Microsoft Translator; NHS App and Gov.UK navigation; online banking apps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Entry Level to L2. 118,220 learners nationally (DfE 2025). ESOL learners face a compound barrier: language exclusion and digital exclusion at the same time. Both need addressing together.</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Maths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Spreadsheet calculations; digital graphing tools; online quizzes and self assessment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Desmos, used in live GCSE exams; GeoGebra; Excel and Google Sheets; OneNote digital inking; Khan Academy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GCSE, Functional Skills L1 to L2. Desmos is used in live GCSE examinations, which makes digital proficiency with it directly assessable.</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Hair, Beauty, Hospitality, Animal Management and 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HBH</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Hair, Beauty and Hospitality</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Social media for business; digital booking systems; card payments; inventory management; self employment finance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Fresha, Treatwell, and Vagaro; EPOS and POS via Square; Instagram and TikTok; OpenTable; Natasha's Law software; HMRC Making Tax Digital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L1 to L3 FE; Apprenticeships. HMRC Making Tax Digital means digital VAT submission is mandatory for self employed practitioners from 2026.</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ANM</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Animal Management</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record keeping; data entry; scientific research online; professional communication</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RoboVet and VetSoft; iNaturalist; environmental data monitoring; microchip scanning; wildlife GPS software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L1 to L3 FE; FdSc Animal Management at UCW. Digital record keeping in veterinary settings is a legal requirement.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SPO</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Sport</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Data handling; digital communications; social media for coaching; performance analysis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Wearable tech via Garmin, Polar, and Catapult; video analysis via Hudl and Dartfish; Trainerize; sports booking systems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L3 FE; FdSc and BSc Sport at UCW. Evidencing digital hours from wearables and video analysis needs to be confirmed through HoA conversation.</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Public Services and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PSF</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Public Services (Protective Services)</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Research and information gathering; digital report writing; data handling; cybersecurity awareness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Niche RMS for police records; body worn camera data management; GIS digital mapping; OSINT awareness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L2 to L3 FE; Access to HE Protective Services. Police, fire, and armed forces require digital literacy at entry level as a baseline.</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CED</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Community Education</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Accessing public and government services online; digital financial inclusion; basic device literacy; email</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Gov.UK digital services; NHS App; Universal Credit portal; online banking; Learn My Way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Adult community provision. Essential digital skills participation grew 9.7% year on year (DfE 2025).</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Employment Services (Pre Employment)</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CV creation; online job search; email for job applications; video interview preparation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Indeed, LinkedIn, and Reed; DWP digital tools; Canva CV builder; Zoom and Teams video interview practice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 employment provision. Ipsos and Lloyds EDS 2024: 75% of job seekers attempt to upskill digitally when they identify a gap.</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SKB</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Skills Bootcamps</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Sector specific digital skills; digital portfolio; professional online presence; AI tool awareness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Sector dependent, typically data, digital marketing, or sector specific tools; LinkedIn; Credly digital badges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Adult Skills Fund funded intensive provision. AI literacy is now a frequent bootcamp focus across the sector.</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Sixth Form and Access to Higher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SMS</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Sixth Form (A Level)</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Academic digital research; reference management; data analysis for subjects; AI assisted study with academic integrity</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JSTOR, Google Scholar, and EBSCO; Desmos and GeoGebra; UCAS digital application platform; Seneca; Quizlet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 Levels at Loxton Campus, including AS Level reintroduction from September 2025. UCAS digital application is mandatory for all progression.</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AHE</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Access to Higher Education</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Academic writing; digital research skills; presentation tools; AI tools with academic integrity awareness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UCAS and university application portals; Turnitin; Zotero referencing; Microsoft Teams; EBSCO and ProQuest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Access to HE Diploma. UCW programmes validated by Bath Spa and UWE. Adult returners often have significant digital confidence gaps that need addressing early.</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FIP and 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991B1B" w:sz="16"/>
              <w:bottom w:val="none"/>
              <w:right w:val="none"/>
            </w:tcBorders>
            <w:shd w:fill="FEE2E2"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Technology is not a learning tool in FIP. It is often the means by which learning is possible at all.</w:t>
            </w:r>
          </w:p>
          <w:p>
            <w:pPr>
              <w:spacing w:before="0" w:after="0"/>
            </w:pPr>
            <w:r>
              <w:rPr>
                <w:rFonts w:ascii="Arial" w:cs="Arial" w:eastAsia="Arial" w:hAnsi="Arial"/>
                <w:color w:val="334155"/>
                <w:sz w:val="21"/>
                <w:szCs w:val="21"/>
              </w:rPr>
              <w:t xml:space="preserve">For FIP areas, staff training on assistive technology is not optional CPD. It is a professional standard for everyone working with these cohorts. Proloquo2Go, Tobii eye gaze, Clicker and Widgit, Read and Write: staff need to know what is available and how to use it. This is a direct obligation under our SEND Centre of Excellence heritage and a clear expectation within the renewed Ofsted Inclusion grade.</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26"/>
        <w:gridCol w:w="2400"/>
        <w:gridCol w:w="1600"/>
      </w:tblGrid>
      <w:tr>
        <w:trPr>
          <w:tblHeader/>
        </w:trPr>
        <w:tc>
          <w:tcPr>
            <w:tcW w:type="dxa" w:w="9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7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Core Digital Skills</w:t>
            </w:r>
          </w:p>
        </w:tc>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Subject Digital Tools</w:t>
            </w:r>
          </w:p>
        </w:tc>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FAU</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Autism</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Predictable structured digital environments; digital routines; AAC communication tools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Proloquo2Go and Grid 3 for AAC; Choiceworks for visual schedules; sensory appropriate digital environments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AAC technologies are central to Autism provision. Consistent Teams layout and clear file naming conventions reduce anxiety significantly. Sudden platform changes without notice must be avoided.</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FCO</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FIP Complex Needs</w:t>
            </w:r>
          </w:p>
        </w:tc>
        <w:tc>
          <w:tcPr>
            <w:tcW w:type="dxa" w:w="2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Switch access technology; eye gaze communication systems; accessible digital devices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Tobii eye gaze; switch access devices; Clicker and Widgit Online; sensory apps and interactive digital surfaces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Technology enables communication and participation that would otherwise be impossible for these learners. Device and software reliability is critical, not peripheral. Staff training is mandatory.</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FPL</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Pre Vocational</w:t>
            </w:r>
          </w:p>
        </w:tc>
        <w:tc>
          <w:tcPr>
            <w:tcW w:type="dxa" w:w="2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Basic device operation; simple task management apps; online communication basics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Read and Write for text to speech and dictation; Immersive Reader; Clicker 8; Taskmaster and visual timetable apps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 vocational and pathway provision. Digital daily living tools, travel apps, banking apps, NHS App, support the transition to employment and independent living that this area is designed to enable.</w:t>
            </w:r>
          </w:p>
        </w:tc>
      </w:tr>
    </w:tbl>
    <w:p>
      <w:r>
        <w:br w:type="page"/>
      </w:r>
    </w:p>
    <w:p>
      <w:pPr>
        <w:pStyle w:val="Heading1"/>
        <w:spacing w:before="360" w:after="200"/>
      </w:pPr>
      <w:r>
        <w:rPr>
          <w:rFonts w:ascii="Arial" w:cs="Arial" w:eastAsia="Arial" w:hAnsi="Arial"/>
          <w:b/>
          <w:bCs/>
          <w:color w:val="0D2240"/>
          <w:sz w:val="36"/>
          <w:szCs w:val="36"/>
        </w:rPr>
        <w:t xml:space="preserve">Section 4: Industry Specific Digital Tools</w:t>
      </w:r>
    </w:p>
    <w:p>
      <w:pPr>
        <w:spacing w:before="240" w:after="60"/>
      </w:pPr>
      <w:r>
        <w:rPr>
          <w:rFonts w:ascii="Arial" w:cs="Arial" w:eastAsia="Arial" w:hAnsi="Arial"/>
          <w:b/>
          <w:bCs/>
          <w:caps/>
          <w:color w:val="0A7EA4"/>
          <w:sz w:val="18"/>
          <w:szCs w:val="18"/>
        </w:rPr>
        <w:t xml:space="preserve">What General Qualifications Do Not Cover</w:t>
      </w:r>
    </w:p>
    <w:p>
      <w:pPr>
        <w:spacing w:before="60" w:after="160"/>
      </w:pPr>
      <w:r>
        <w:rPr>
          <w:rFonts w:ascii="Arial" w:cs="Arial" w:eastAsia="Arial" w:hAnsi="Arial"/>
          <w:b w:val="false"/>
          <w:bCs w:val="false"/>
          <w:i w:val="false"/>
          <w:iCs w:val="false"/>
          <w:color w:val="334155"/>
          <w:sz w:val="22"/>
          <w:szCs w:val="22"/>
        </w:rPr>
        <w:t xml:space="preserve">This section is for use when working with Heads of Area to audit specific gaps. The question I ask is: which of these tools do your learners currently use, and which do your placement employers expect them to know? The answers often reveal a gap between what is being taught and what industry is actually looking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Sector</w:t>
            </w:r>
          </w:p>
        </w:tc>
        <w:tc>
          <w:tcPr>
            <w:tcW w:type="dxa" w:w="42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Key Industry Digital Tools</w:t>
            </w:r>
          </w:p>
        </w:tc>
        <w:tc>
          <w:tcPr>
            <w:tcW w:type="dxa" w:w="28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Why this matters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Construction and Built Environment</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Revit and AutoCAD for BIM Level 2; Fieldwire and Procore for site management; Site App Pro for QR clock in; laser levels; BREEAM sustainability tools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BIM Level 2 is a legal requirement for all UK government funded construction projects. Digital clock in is standard on every major contract site.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Health, Care and Early Years</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SystmOne and EMIS for electronic patient records; Liquid Logic; telehealth platforms; Tapestry and Evidence Me for EEY; e Prescribing; digital MAR charts</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NHS Digital strategy mandates electronic records across all settings. Caldicott data protection is a legal requirement from day one of employment in care.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Engineering and Motor Vehicle</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OBD II diagnostic software; Bosch and ALLDATA; EV battery management systems; ADAS calibration tools; SolidWorks and Fusion 360; SAP and Oracle ERP</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The EV transition means battery management and ADAS calibration are now critical digital skills for all modern vehicle technicians, not specialist knowledge.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Hair, Beauty and Hospitality</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Fresha, Treatwell, and Vagaro; OpenTable and ResDiary; EPOS and Square; Natasha's Law allergen software; HMRC Making Tax Digital</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HMRC Making Tax Digital makes digital VAT submission mandatory for self employed practitioners from 2026. This is a compliance requirement, not optional awareness.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Creative Arts, Games and Media</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Adobe Creative Suite; Unity and Unreal Engine; Git version control; AI creative tools including Adobe Firefly and Midjourney, with IP literacy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Adobe CC proficiency is the industry baseline in creative employment. Not having it is not an option for learners going into these industries.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Business and IT</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Xero, QuickBooks, and Sage; Salesforce and HubSpot; Power BI; Python, SQL, and JavaScript; Azure, AWS, and GitHub; Wireshark and Kali Linux for DCI</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WEF Future of Jobs 2025 identifies data analysis and AI literacy as the fastest growing business skills globally for the period 2025 to 2030.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Public Services</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Niche RMS for police records management; Airwave and digital radio systems; body worn camera evidence management; GIS mapping tools; OSINT tools with ethical and legal grounding</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Police, fire, and armed forces all require digital literacy at entry level. These are baseline employability requirements for this sector, not advanced skills.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Sport and Active Living</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Hudl and Dartfish for video analysis; Catapult and Garmin for wearable GPS data; Trainerize and PT Distinction for coaching platforms; sports booking and facilities management software</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Hudl is used by most professional clubs for performance analysis. Wearable tech data interpretation is now expected at graduate entry level in sport science and coaching roles.</w:t>
            </w:r>
          </w:p>
        </w:tc>
      </w:tr>
    </w:tbl>
    <w:p>
      <w:r>
        <w:br w:type="page"/>
      </w:r>
    </w:p>
    <w:p>
      <w:pPr>
        <w:pStyle w:val="Heading1"/>
        <w:spacing w:before="360" w:after="200"/>
      </w:pPr>
      <w:r>
        <w:rPr>
          <w:rFonts w:ascii="Arial" w:cs="Arial" w:eastAsia="Arial" w:hAnsi="Arial"/>
          <w:b/>
          <w:bCs/>
          <w:color w:val="0D2240"/>
          <w:sz w:val="36"/>
          <w:szCs w:val="36"/>
        </w:rPr>
        <w:t xml:space="preserve">Section 5: Framing Digital Skills for Vocational Contexts</w:t>
      </w:r>
    </w:p>
    <w:p>
      <w:pPr>
        <w:spacing w:before="60" w:after="160"/>
      </w:pPr>
      <w:r>
        <w:rPr>
          <w:rFonts w:ascii="Arial" w:cs="Arial" w:eastAsia="Arial" w:hAnsi="Arial"/>
          <w:b w:val="false"/>
          <w:bCs w:val="false"/>
          <w:i w:val="false"/>
          <w:iCs w:val="false"/>
          <w:color w:val="334155"/>
          <w:sz w:val="22"/>
          <w:szCs w:val="22"/>
        </w:rPr>
        <w:t xml:space="preserve">How digital skills are framed makes an enormous difference to whether staff and learners engage with them. What I have found is that the most effective framing always connects the digital skill directly to an industry outcome that the learner already cares about. The technology becomes invisible. It is just how you do the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3200"/>
      </w:tblGrid>
      <w:tr>
        <w:trPr>
          <w:tblHeader/>
        </w:trP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Framing Approach</w:t>
            </w:r>
          </w:p>
        </w:tc>
        <w:tc>
          <w:tcPr>
            <w:tcW w:type="dxa" w:w="38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sounds like</w:t>
            </w:r>
          </w:p>
        </w:tc>
        <w:tc>
          <w:tcPr>
            <w:tcW w:type="dxa" w:w="3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When to use it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The Industry Standard Frame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Every major contractor uses digital clock in. You will not get paid if you cannot sign in on site digitally. Or: EV diagnostics are entirely digital. You cannot fix a modern vehicle without a tablet. The technology is not the subject. The job requirement is.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When a Head of Area or learner says digital is not relevant to their area. Almost always the wrong conclusion. Use Section 4 industry tools to make the case.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The Time Saving Frame</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Fresha sends appointment reminders automatically and takes deposits. You spend less time chasing no shows and more time with clients. Or: Electronic records mean you do not rewrite the same patient information by hand three times a shift. Digital as workload relief.</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When staff are resistant to digital tools because they feel like extra work. Show them the time they get back.</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The Earnings and Employability Frame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Xero certification adds an estimated three to five thousand pounds to your starting salary as a bookkeeper or finance assistant. Or: Site managers who can use BIM earn significantly more than those who cannot. Connect digital competence to tangible economic outcomes.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When learners or parents question why digital skills matter in a vocational programme. Labour market intelligence makes the case quickly.</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The Authentic Context Frame</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Measure this wall, log the data digitally, and email it to the project manager. The learner has practised data entry, file handling, and professional email in one real task. Or: Book a GP appointment on the NHS App. A real digital service, not a classroom simulation.</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This is the most effective framing. The digital skill becomes invisible: the learner is just doing the job. Use this wherever possible, especially for ESOL and community education learners where real world application is the strongest motivator.</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65F46" w:sz="16"/>
              <w:bottom w:val="none"/>
              <w:right w:val="none"/>
            </w:tcBorders>
            <w:shd w:fill="D1FAE5"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21CLD connection</w:t>
            </w:r>
          </w:p>
          <w:p>
            <w:pPr>
              <w:spacing w:before="0" w:after="0"/>
            </w:pPr>
            <w:r>
              <w:rPr>
                <w:rFonts w:ascii="Arial" w:cs="Arial" w:eastAsia="Arial" w:hAnsi="Arial"/>
                <w:color w:val="334155"/>
                <w:sz w:val="21"/>
                <w:szCs w:val="21"/>
              </w:rPr>
              <w:t xml:space="preserve">The 21st Century Learning Design framework describes knowledge building, real world problem solving, skilled communication, and self regulation as the learning activities most likely to develop the skills learners need for work and life. All of these are most richly realised when digital tools are embedded in authentic vocational tasks rather than taught in isolation. The authentic context framing approach is where these principles are already alive in good vocational teaching. You do not need to name the framework to work within it.</w:t>
            </w:r>
          </w:p>
        </w:tc>
      </w:tr>
    </w:tbl>
    <w:p>
      <w:r>
        <w:br w:type="page"/>
      </w:r>
    </w:p>
    <w:p>
      <w:pPr>
        <w:pStyle w:val="Heading1"/>
        <w:spacing w:before="360" w:after="200"/>
      </w:pPr>
      <w:r>
        <w:rPr>
          <w:rFonts w:ascii="Arial" w:cs="Arial" w:eastAsia="Arial" w:hAnsi="Arial"/>
          <w:b/>
          <w:bCs/>
          <w:color w:val="0D2240"/>
          <w:sz w:val="36"/>
          <w:szCs w:val="36"/>
        </w:rPr>
        <w:t xml:space="preserve">Section 6: SEND, Inclusion and Accessibility</w:t>
      </w:r>
    </w:p>
    <w:p>
      <w:pPr>
        <w:spacing w:before="60" w:after="160"/>
      </w:pPr>
      <w:r>
        <w:rPr>
          <w:rFonts w:ascii="Arial" w:cs="Arial" w:eastAsia="Arial" w:hAnsi="Arial"/>
          <w:b w:val="false"/>
          <w:bCs w:val="false"/>
          <w:i w:val="false"/>
          <w:iCs w:val="false"/>
          <w:color w:val="334155"/>
          <w:sz w:val="22"/>
          <w:szCs w:val="22"/>
        </w:rPr>
        <w:t xml:space="preserve">This section underpins the Learning Without Barriers proposal. The principle here is one I feel strongly about: accessibility is not a bolt on for certain learners. The best digital accessibility practice benefits everyone. Captions help in noisy environments. Clear navigation reduces anxiety. Accessible colour contrast helps in poor lighting. Design it in from the start and you serve every learner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5B21B6" w:sz="16"/>
              <w:bottom w:val="none"/>
              <w:right w:val="none"/>
            </w:tcBorders>
            <w:shd w:fill="EDE9FE"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WCAG 2.2 AA Standard</w:t>
            </w:r>
          </w:p>
          <w:p>
            <w:pPr>
              <w:spacing w:before="0" w:after="0"/>
            </w:pPr>
            <w:r>
              <w:rPr>
                <w:rFonts w:ascii="Arial" w:cs="Arial" w:eastAsia="Arial" w:hAnsi="Arial"/>
                <w:color w:val="334155"/>
                <w:sz w:val="21"/>
                <w:szCs w:val="21"/>
              </w:rPr>
              <w:t xml:space="preserve">WCAG 2.2 AA is the internationally recognised standard for accessible digital content and the legally required standard for UK public sector organisations. It should be the minimum standard for every digital resource created by any member of staff. The key requirements are: minimum 4.5:1 colour contrast ratio for normal text, alternative text descriptions on all images, correct heading structure in all documents, captions on all video content, and keyboard navigability. The Microsoft Office Accessibility Checker checks most of these automatically. It is built into every Office application and takes seconds to run.</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13"/>
        <w:gridCol w:w="3413"/>
      </w:tblGrid>
      <w:tr>
        <w:trPr>
          <w:tblHeader/>
        </w:trP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Learner Group</w:t>
            </w:r>
          </w:p>
        </w:tc>
        <w:tc>
          <w:tcPr>
            <w:tcW w:type="dxa" w:w="3613"/>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Key Considerations</w:t>
            </w:r>
          </w:p>
        </w:tc>
        <w:tc>
          <w:tcPr>
            <w:tcW w:type="dxa" w:w="3413"/>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Tools and Approaches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Autism (FAU)</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Many autistic learners have strong digital aptitude. Recognise and build on this in ILPs. Predictable, consistent digital environments reduce anxiety significantly. Sudden platform changes without notice can be genuinely distressing.</w:t>
            </w:r>
          </w:p>
        </w:tc>
        <w:tc>
          <w:tcPr>
            <w:tcW w:type="dxa" w:w="34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Proloquo2Go and Grid 3 for AAC; Choiceworks for visual schedules; consistent Teams layout and file naming conventions; sensory settings adjusted as needed</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FIP Complex Needs (FCO)</w:t>
            </w:r>
          </w:p>
        </w:tc>
        <w:tc>
          <w:tcPr>
            <w:tcW w:type="dxa" w:w="36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For this cohort, technology is often the primary means of communication and participation. Device and software reliability is not a convenience issue. It is a safeguarding and access issue. Staff training is mandatory.</w:t>
            </w:r>
          </w:p>
        </w:tc>
        <w:tc>
          <w:tcPr>
            <w:tcW w:type="dxa" w:w="34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Tobii eye gaze for learners without motor control; switch access devices; Clicker and Widgit Online; interactive digital surfaces; all college devices must have this software available and functioning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Pre Vocational (FPL)</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Basic device operation as a foundation for the transition to employment. Digital daily living tools support independence in ways that have direct quality of life implications.</w:t>
            </w:r>
          </w:p>
        </w:tc>
        <w:tc>
          <w:tcPr>
            <w:tcW w:type="dxa" w:w="34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Read and Write for text to speech and dictation; Immersive Reader, free, built into Teams and Word, shown to every learner at induction; Clicker 8; visual timetable apps for routine and structure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ESOL Learners (ESO)</w:t>
            </w:r>
          </w:p>
        </w:tc>
        <w:tc>
          <w:tcPr>
            <w:tcW w:type="dxa" w:w="36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Language exclusion and digital exclusion are compounding barriers that need to be addressed together, not in sequence. Microsoft Translator and Google Translate are scaffolding tools that bridge to independence, not dependency supports.</w:t>
            </w:r>
          </w:p>
        </w:tc>
        <w:tc>
          <w:tcPr>
            <w:tcW w:type="dxa" w:w="34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Microsoft Translator and Google Translate as standard scaffolding; Immersive Reader with translation enabled; real world digital tasks such as NHS App, DWP portal, and online banking as the most motivating and immediately useful learning contexts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Dyslexia and SpLD (All Areas)</w:t>
            </w:r>
          </w:p>
        </w:tc>
        <w:tc>
          <w:tcPr>
            <w:tcW w:type="dxa" w:w="36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Read and Write Gold, Immersive Reader, OneNote digital inking for spatial note taking, and Dragon Dictate for extended writing tasks. These are productivity tools that happen to be especially effective for learners with literacy difficulties. They should be available to everyone.</w:t>
            </w:r>
          </w:p>
        </w:tc>
        <w:tc>
          <w:tcPr>
            <w:tcW w:type="dxa" w:w="3413"/>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Read and Write Gold; Immersive Reader, zero cost and high impact; OneNote digital inking; Dragon Dictate or Windows Speech Recognition; mention all of these at induction as available to all learners, not only those with a recorded need</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Universal Design (All Areas)</w:t>
            </w:r>
          </w:p>
        </w:tc>
        <w:tc>
          <w:tcPr>
            <w:tcW w:type="dxa" w:w="36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WCAG 2.2 AA compliance for all digital resources created by staff. Captions on all video. Alt text on all images. Accessible colour contrast. Accessibility Checker run before every resource is shared.</w:t>
            </w:r>
          </w:p>
        </w:tc>
        <w:tc>
          <w:tcPr>
            <w:tcW w:type="dxa" w:w="3413"/>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WCAG 2.2 Quick Reference at w3.org/WAI/WCAG22/quickref | Microsoft Accessibility Checker built into all Office applications</w:t>
            </w:r>
          </w:p>
        </w:tc>
      </w:tr>
    </w:tbl>
    <w:p>
      <w:r>
        <w:br w:type="page"/>
      </w:r>
    </w:p>
    <w:p>
      <w:pPr>
        <w:pStyle w:val="Heading1"/>
        <w:spacing w:before="360" w:after="200"/>
      </w:pPr>
      <w:r>
        <w:rPr>
          <w:rFonts w:ascii="Arial" w:cs="Arial" w:eastAsia="Arial" w:hAnsi="Arial"/>
          <w:b/>
          <w:bCs/>
          <w:color w:val="0D2240"/>
          <w:sz w:val="36"/>
          <w:szCs w:val="36"/>
        </w:rPr>
        <w:t xml:space="preserve">Section 7: Digital Skills Progression Ladders</w:t>
      </w:r>
    </w:p>
    <w:p>
      <w:pPr>
        <w:spacing w:before="240" w:after="60"/>
      </w:pPr>
      <w:r>
        <w:rPr>
          <w:rFonts w:ascii="Arial" w:cs="Arial" w:eastAsia="Arial" w:hAnsi="Arial"/>
          <w:b/>
          <w:bCs/>
          <w:caps/>
          <w:color w:val="0A7EA4"/>
          <w:sz w:val="18"/>
          <w:szCs w:val="18"/>
        </w:rPr>
        <w:t xml:space="preserve">Foundation to Highly Advanced | Based on DigComp 3.0 (European Commission, November 2025)</w:t>
      </w:r>
    </w:p>
    <w:p>
      <w:pPr>
        <w:spacing w:before="60" w:after="160"/>
      </w:pPr>
      <w:r>
        <w:rPr>
          <w:rFonts w:ascii="Arial" w:cs="Arial" w:eastAsia="Arial" w:hAnsi="Arial"/>
          <w:b w:val="false"/>
          <w:bCs w:val="false"/>
          <w:i w:val="false"/>
          <w:iCs w:val="false"/>
          <w:color w:val="334155"/>
          <w:sz w:val="22"/>
          <w:szCs w:val="22"/>
        </w:rPr>
        <w:t xml:space="preserve">Two parallel progression ladders. I use these to position learners and staff on a shared scale for CPD planning, digital hours evidence, and self assessment conversations.</w:t>
      </w:r>
    </w:p>
    <w:p>
      <w:pPr>
        <w:pStyle w:val="Heading2"/>
        <w:spacing w:before="280" w:after="160"/>
      </w:pPr>
      <w:r>
        <w:rPr>
          <w:rFonts w:ascii="Arial" w:cs="Arial" w:eastAsia="Arial" w:hAnsi="Arial"/>
          <w:b/>
          <w:bCs/>
          <w:color w:val="0D2240"/>
          <w:sz w:val="28"/>
          <w:szCs w:val="28"/>
        </w:rPr>
        <w:t xml:space="preserve">Ladder 1: General Digital Skills (Learner Facing)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5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DigComp 3.0</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Foundation</w:t>
            </w:r>
          </w:p>
        </w:tc>
        <w:tc>
          <w:tcPr>
            <w:tcW w:type="dxa" w:w="5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Can switch on a device, use a touchscreen, and open an app or browser with guidance. Recognises common icons. May not distinguish between search results and adverts.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A1: Newcomer</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Basic</w:t>
            </w:r>
          </w:p>
        </w:tc>
        <w:tc>
          <w:tcPr>
            <w:tcW w:type="dxa" w:w="5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Can write, send, and reply to emails with attachments. Uses specific search terms. Can create a simple Word document, save it, and retrieve it. Can navigate Gov.UK and book a GP appointment independently.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A2: Explorer</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Intermediate</w:t>
            </w:r>
          </w:p>
        </w:tc>
        <w:tc>
          <w:tcPr>
            <w:tcW w:type="dxa" w:w="5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Uses Word, Excel with formulae, and PowerPoint confidently. Joins and hosts video calls. Uses strong, unique passwords and two factor authentication. Recognises misinformation. Can use AI assistants and knows to verify their outputs.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B1: Integrator</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Advanced</w:t>
            </w:r>
          </w:p>
        </w:tc>
        <w:tc>
          <w:tcPr>
            <w:tcW w:type="dxa" w:w="5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Excel pivot tables, Power BI dashboards, digital project management. Uses AI tools strategically to accelerate work and evaluates outputs critically. Understands GDPR obligations. Can guide others in digital tools with pedagogical rationale.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B2: Expert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Highly Advanced</w:t>
            </w:r>
          </w:p>
        </w:tc>
        <w:tc>
          <w:tcPr>
            <w:tcW w:type="dxa" w:w="5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Shapes digital culture or strategy at organisational level. Builds automated workflows using Power Automate or Zapier. Identifies novel applications of AI. Advocates for ethical and inclusive digital practice across the institution.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C1 and C2: Leader and Pioneer</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Ladder 2: IT Skills for FE and HE (Academic and Professional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74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Foundation</w:t>
            </w:r>
          </w:p>
        </w:tc>
        <w:tc>
          <w:tcPr>
            <w:tcW w:type="dxa" w:w="7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Can log into college email, Teams, and the VLE with prompting. Can access course materials. Can print from a college PC with guidance.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Basic</w:t>
            </w:r>
          </w:p>
        </w:tc>
        <w:tc>
          <w:tcPr>
            <w:tcW w:type="dxa" w:w="7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Accesses assignment briefs, submissions, grades, and feedback via the VLE independently. Uses Microsoft 365 basics. Submits work via Turnitin or Teams Assignment. Joins class Teams channels and attends online sessions.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Intermediate</w:t>
            </w:r>
          </w:p>
        </w:tc>
        <w:tc>
          <w:tcPr>
            <w:tcW w:type="dxa" w:w="7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Uses EBSCO or JSTOR with Boolean search. Creates accessible presentations with correct heading structure and alt text. Uses Excel or SPSS for basic data analysis. Maintains an ePortfolio. Uses AI tools with full understanding of institutional AI policy.</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Advanced</w:t>
            </w:r>
          </w:p>
        </w:tc>
        <w:tc>
          <w:tcPr>
            <w:tcW w:type="dxa" w:w="74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Uses SPSS, R, or Python for statistical analysis. Produces multimedia academic content. Maintains an active professional LinkedIn profile and digital portfolio. Briefs others on data findings.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Highly Advanced</w:t>
            </w:r>
          </w:p>
        </w:tc>
        <w:tc>
          <w:tcPr>
            <w:tcW w:type="dxa" w:w="74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Publishes research digitally via open access repositories. Creates OERs for others. Applies computational thinking or scripting to academic or professional problems. Advocates for responsible, inclusive digital practice and contributes to institutional AI and data policy.</w:t>
            </w:r>
          </w:p>
        </w:tc>
      </w:tr>
    </w:tbl>
    <w:p>
      <w:pPr>
        <w:spacing w:before="120" w:after="0"/>
      </w:pPr>
      <w:r>
        <w:t xml:space="preserve"/>
      </w:r>
    </w:p>
    <w:p>
      <w:pPr>
        <w:spacing w:before="60" w:after="160"/>
      </w:pPr>
      <w:r>
        <w:rPr>
          <w:rFonts w:ascii="Arial" w:cs="Arial" w:eastAsia="Arial" w:hAnsi="Arial"/>
          <w:b w:val="false"/>
          <w:bCs w:val="false"/>
          <w:i w:val="false"/>
          <w:iCs w:val="false"/>
          <w:color w:val="64748B"/>
          <w:sz w:val="22"/>
          <w:szCs w:val="22"/>
        </w:rPr>
        <w:t xml:space="preserve">Source: DigComp 3.0, European Commission Joint Research Centre, November 2025 (joint-research-centre.ec.europa.eu/digcomp_en) | Jisc Building Digital Capability Framework (digitalcapability.jisc.ac.uk)</w:t>
      </w:r>
    </w:p>
    <w:p>
      <w:r>
        <w:br w:type="page"/>
      </w:r>
    </w:p>
    <w:p>
      <w:pPr>
        <w:pStyle w:val="Heading1"/>
        <w:spacing w:before="360" w:after="200"/>
      </w:pPr>
      <w:r>
        <w:rPr>
          <w:rFonts w:ascii="Arial" w:cs="Arial" w:eastAsia="Arial" w:hAnsi="Arial"/>
          <w:b/>
          <w:bCs/>
          <w:color w:val="0D2240"/>
          <w:sz w:val="36"/>
          <w:szCs w:val="36"/>
        </w:rPr>
        <w:t xml:space="preserve">Section 8: Teacher Digital Skills</w:t>
      </w:r>
    </w:p>
    <w:p>
      <w:pPr>
        <w:spacing w:before="240" w:after="60"/>
      </w:pPr>
      <w:r>
        <w:rPr>
          <w:rFonts w:ascii="Arial" w:cs="Arial" w:eastAsia="Arial" w:hAnsi="Arial"/>
          <w:b/>
          <w:bCs/>
          <w:caps/>
          <w:color w:val="0A7EA4"/>
          <w:sz w:val="18"/>
          <w:szCs w:val="18"/>
        </w:rPr>
        <w:t xml:space="preserve">TLA Focused Progression | ETF Digital Teaching Professional Framework and DigCompEdu</w:t>
      </w:r>
    </w:p>
    <w:p>
      <w:pPr>
        <w:spacing w:before="60" w:after="160"/>
      </w:pPr>
      <w:r>
        <w:rPr>
          <w:rFonts w:ascii="Arial" w:cs="Arial" w:eastAsia="Arial" w:hAnsi="Arial"/>
          <w:b w:val="false"/>
          <w:bCs w:val="false"/>
          <w:i w:val="false"/>
          <w:iCs w:val="false"/>
          <w:color w:val="334155"/>
          <w:sz w:val="22"/>
          <w:szCs w:val="22"/>
        </w:rPr>
        <w:t xml:space="preserve">A structured progression framework for FE and HE teaching staff, from first engaging with technology in the classroom through to leading digital innovation across the college. I use this section in conversations with TLAMs about CPD priorities and Digital Lead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26"/>
        <w:gridCol w:w="1800"/>
      </w:tblGrid>
      <w:tr>
        <w:trPr>
          <w:tblHeader/>
        </w:trPr>
        <w:tc>
          <w:tcPr>
            <w:tcW w:type="dxa" w:w="1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8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ETF DTPF</w:t>
            </w:r>
          </w:p>
        </w:tc>
        <w:tc>
          <w:tcPr>
            <w:tcW w:type="dxa" w:w="42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looks like in practice</w:t>
            </w:r>
          </w:p>
        </w:tc>
        <w:tc>
          <w:tcPr>
            <w:tcW w:type="dxa" w:w="18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DigCompEdu</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Stage 1</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Exploring</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Beginning to explore digital tools. Relies on guidance. Has attended an overview of key college digital tools but has not yet integrated them meaningfully into regular teaching. Aware of what is available, not yet acting on it.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A1 and A2: Newcomer to Explorer</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Stage 2A</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Adopting: Developing</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Uses Teams for communication, basic assignments, and feedback. Aware of the college AI policy. Begins using AI to reduce own workload via quiz generation and lesson plan drafts. Uses formative digital assessment at least occasionally.</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B1: Integrator</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Stage 2B</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Adopting: Embedding</w:t>
            </w:r>
          </w:p>
        </w:tc>
        <w:tc>
          <w:tcPr>
            <w:tcW w:type="dxa" w:w="4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Designs lesson sequences where digital tools purposefully change the learning experience, not just present content differently. Applies WCAG 2.2 AA accessibility principles to all digital resources as a professional habit. Uses AI tools critically and transparently. Can articulate which EDS categories their learners are developing and how.</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B2: Expert</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Stage 3</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Leading</w:t>
            </w:r>
          </w:p>
        </w:tc>
        <w:tc>
          <w:tcPr>
            <w:tcW w:type="dxa" w:w="4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Coaches and mentors colleagues on digital pedagogy. Designs digital first curriculum where the VLE is a live, learner directed environment. Evaluates EdTech critically, considering pedagogical rationale, GDPR, accessibility compliance, and sustainability before adopting anything new. Leads the team's thinking on AI in teaching and assessment. Champions assistive technology for SEND learners and advocates for the resources that reduce digital exclusion.</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C1 and C2: Leader to Pioneer</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A7EA4" w:sz="16"/>
              <w:bottom w:val="none"/>
              <w:right w:val="none"/>
            </w:tcBorders>
            <w:shd w:fill="E8F4F9"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Digital Lead role sits at Stage 2B to Stage 3</w:t>
            </w:r>
          </w:p>
          <w:p>
            <w:pPr>
              <w:spacing w:before="0" w:after="0"/>
            </w:pPr>
            <w:r>
              <w:rPr>
                <w:rFonts w:ascii="Arial" w:cs="Arial" w:eastAsia="Arial" w:hAnsi="Arial"/>
                <w:color w:val="334155"/>
                <w:sz w:val="21"/>
                <w:szCs w:val="21"/>
              </w:rPr>
              <w:t xml:space="preserve">The Digital Lead in each curriculum area does not need to be at Stage 3, but they need to be working comfortably at Stage 2B and moving towards 3. That means they can articulate the EDS mapping for their area, they know how to run the Teams Digital Health Check, and they are a credible peer resource for colleagues still at Stage 1 or 2A. The Jisc Building Digital Capability self assessment tool is the most practical way to baseline where staff currently sit.</w:t>
            </w:r>
          </w:p>
        </w:tc>
      </w:tr>
    </w:tbl>
    <w:p>
      <w:pPr>
        <w:spacing w:before="120" w:after="0"/>
      </w:pPr>
      <w:r>
        <w:t xml:space="preserve"/>
      </w:r>
    </w:p>
    <w:p>
      <w:pPr>
        <w:spacing w:before="60" w:after="160"/>
      </w:pPr>
      <w:r>
        <w:rPr>
          <w:rFonts w:ascii="Arial" w:cs="Arial" w:eastAsia="Arial" w:hAnsi="Arial"/>
          <w:b w:val="false"/>
          <w:bCs w:val="false"/>
          <w:i w:val="false"/>
          <w:iCs w:val="false"/>
          <w:color w:val="64748B"/>
          <w:sz w:val="22"/>
          <w:szCs w:val="22"/>
        </w:rPr>
        <w:t xml:space="preserve">Sources: ETF Digital Teaching Professional Framework (set.et-foundation.co.uk) | DigCompEdu, European Commission (joint-research-centre.ec.europa.eu/digcompedu_en) | ETF Enhance CPD Platform, free for FE staff (enhance.etfoundation.co.uk)</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A4" w:sz="4" w:space="4"/>
      </w:pBdr>
      <w:spacing w:before="200"/>
    </w:pPr>
    <w:r>
      <w:rPr>
        <w:rFonts w:ascii="Arial" w:cs="Arial" w:eastAsia="Arial" w:hAnsi="Arial"/>
        <w:color w:val="64748B"/>
        <w:sz w:val="18"/>
        <w:szCs w:val="18"/>
      </w:rPr>
      <w:t xml:space="preserve">Weston College Group  |  Digital Skills Framework 2026 to 2027  |  Graeme Wright, Digital Pedagogy Coach  |  Consultation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A7EA4" w:sz="4" w:space="4"/>
      </w:pBdr>
      <w:spacing w:before="360" w:after="200"/>
      <w:outlineLvl w:val="0"/>
    </w:pPr>
    <w:rPr>
      <w:rFonts w:ascii="Arial" w:cs="Arial" w:eastAsia="Arial" w:hAnsi="Arial"/>
      <w:b/>
      <w:bCs/>
      <w:color w:val="0D224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224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A7E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2026-03-26T06:40:16.428Z</dcterms:created>
  <dcterms:modified xsi:type="dcterms:W3CDTF">2026-03-26T06:40:16.429Z</dcterms:modified>
</cp:coreProperties>
</file>

<file path=docProps/custom.xml><?xml version="1.0" encoding="utf-8"?>
<Properties xmlns="http://schemas.openxmlformats.org/officeDocument/2006/custom-properties" xmlns:vt="http://schemas.openxmlformats.org/officeDocument/2006/docPropsVTypes"/>
</file>