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64748B"/>
          <w:sz w:val="18"/>
          <w:szCs w:val="18"/>
        </w:rPr>
        <w:t xml:space="preserve">WESTON COLLEGE GROUP</w:t>
      </w:r>
    </w:p>
    <w:p>
      <w:pPr>
        <w:spacing w:before="0" w:after="80"/>
      </w:pPr>
      <w:r>
        <w:rPr>
          <w:rFonts w:ascii="Arial" w:cs="Arial" w:eastAsia="Arial" w:hAnsi="Arial"/>
          <w:color w:val="64748B"/>
          <w:sz w:val="20"/>
          <w:szCs w:val="20"/>
        </w:rPr>
        <w:t xml:space="preserve">Digital Pedagogy  |  Quality Team</w:t>
      </w:r>
    </w:p>
    <w:p>
      <w:pPr>
        <w:spacing w:before="200" w:after="0"/>
      </w:pPr>
      <w:r>
        <w:t xml:space="preserve"/>
      </w:r>
    </w:p>
    <w:p>
      <w:pPr>
        <w:spacing w:before="0" w:after="120"/>
      </w:pPr>
      <w:r>
        <w:rPr>
          <w:rFonts w:ascii="Arial" w:cs="Arial" w:eastAsia="Arial" w:hAnsi="Arial"/>
          <w:b/>
          <w:bCs/>
          <w:color w:val="0D2240"/>
          <w:sz w:val="52"/>
          <w:szCs w:val="52"/>
        </w:rPr>
        <w:t xml:space="preserve">Learning Without Barriers</w:t>
      </w:r>
    </w:p>
    <w:p>
      <w:pPr>
        <w:spacing w:before="0" w:after="200"/>
      </w:pPr>
      <w:r>
        <w:rPr>
          <w:rFonts w:ascii="Arial" w:cs="Arial" w:eastAsia="Arial" w:hAnsi="Arial"/>
          <w:b/>
          <w:bCs/>
          <w:color w:val="065F46"/>
          <w:sz w:val="30"/>
          <w:szCs w:val="30"/>
        </w:rPr>
        <w:t xml:space="preserve">A Digital Inclusion Strategy for Weston College</w:t>
      </w:r>
    </w:p>
    <w:p>
      <w:pPr>
        <w:pBdr>
          <w:bottom w:val="single" w:color="065F46" w:sz="6" w:space="4"/>
        </w:pBdr>
        <w:spacing w:before="0" w:after="280"/>
      </w:pPr>
      <w:r>
        <w:rPr>
          <w:rFonts w:ascii="Arial" w:cs="Arial" w:eastAsia="Arial" w:hAnsi="Arial"/>
          <w:i/>
          <w:iCs/>
          <w:color w:val="334155"/>
          <w:sz w:val="24"/>
          <w:szCs w:val="24"/>
        </w:rPr>
        <w:t xml:space="preserve">How we create the conditions for every learner to participate fully in digital skills development, regardless of ability, language, background, connectivity, or prior experience</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7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Graeme Wright, Digital Pedagogy Coach, Quality Team</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7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March 2026</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026"/>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r>
              <w:rPr>
                <w:rFonts w:ascii="Arial" w:cs="Arial" w:eastAsia="Arial" w:hAnsi="Arial"/>
                <w:b/>
                <w:bCs/>
                <w:color w:val="B45309"/>
                <w:sz w:val="20"/>
                <w:szCs w:val="20"/>
              </w:rPr>
              <w:t xml:space="preserve">Consultation document. For discussion.</w:t>
            </w:r>
          </w:p>
        </w:tc>
      </w:tr>
      <w:tr>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Accessibility</w:t>
            </w:r>
          </w:p>
        </w:tc>
        <w:tc>
          <w:tcPr>
            <w:tcW w:type="dxa" w:w="7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WCAG 2.2 AA compliant</w:t>
            </w:r>
          </w:p>
        </w:tc>
      </w:tr>
    </w:tbl>
    <w:p>
      <w:r>
        <w:br w:type="page"/>
      </w:r>
    </w:p>
    <w:p>
      <w:pPr>
        <w:pStyle w:val="Heading1"/>
        <w:spacing w:before="360" w:after="200"/>
      </w:pPr>
      <w:r>
        <w:rPr>
          <w:rFonts w:ascii="Arial" w:cs="Arial" w:eastAsia="Arial" w:hAnsi="Arial"/>
          <w:b/>
          <w:bCs/>
          <w:color w:val="0D2240"/>
          <w:sz w:val="36"/>
          <w:szCs w:val="36"/>
        </w:rPr>
        <w:t xml:space="preserve">What this proposal is about</w:t>
      </w:r>
    </w:p>
    <w:p>
      <w:pPr>
        <w:spacing w:before="120" w:after="200"/>
      </w:pPr>
      <w:r>
        <w:rPr>
          <w:rFonts w:ascii="Arial" w:cs="Arial" w:eastAsia="Arial" w:hAnsi="Arial"/>
          <w:color w:val="334155"/>
          <w:sz w:val="24"/>
          <w:szCs w:val="24"/>
        </w:rPr>
        <w:t xml:space="preserve">The Post 16 Education and Skills White Paper from November 2025 makes digital assumptions about learners, staff, and infrastructure that do not reflect the reality for a significant proportion of our cohort. Learners in coastal and rural areas around Weston super Mare face connectivity gaps. Many ESOL and SEND learners face device poverty. Staff confidence with digital tools varies considerably across the college.</w:t>
      </w:r>
    </w:p>
    <w:p>
      <w:pPr>
        <w:spacing w:before="60" w:after="160"/>
      </w:pPr>
      <w:r>
        <w:rPr>
          <w:rFonts w:ascii="Arial" w:cs="Arial" w:eastAsia="Arial" w:hAnsi="Arial"/>
          <w:b w:val="false"/>
          <w:bCs w:val="false"/>
          <w:i w:val="false"/>
          <w:iCs w:val="false"/>
          <w:color w:val="334155"/>
          <w:sz w:val="22"/>
          <w:szCs w:val="22"/>
        </w:rPr>
        <w:t xml:space="preserve">Learning Without Barriers is my proposal for how we address that gap between assumption and reality. It is built on three things I feel strongly about: Universal Design for Learning, Quality First Teaching, and the principle that accessible and inclusive digital practice is not something we add for certain learners. It is something we build in from the start for everyone.</w:t>
      </w:r>
    </w:p>
    <w:p>
      <w:pPr>
        <w:spacing w:before="60" w:after="160"/>
      </w:pPr>
      <w:r>
        <w:rPr>
          <w:rFonts w:ascii="Arial" w:cs="Arial" w:eastAsia="Arial" w:hAnsi="Arial"/>
          <w:b w:val="false"/>
          <w:bCs w:val="false"/>
          <w:i w:val="false"/>
          <w:iCs w:val="false"/>
          <w:color w:val="334155"/>
          <w:sz w:val="22"/>
          <w:szCs w:val="22"/>
        </w:rPr>
        <w:t xml:space="preserve">I am not presenting this as a finished strategy. I am presenting it as a starting point for a conversation about what kind of digital learning environment we want Weston College to be, and what it would take to get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65F46" w:sz="16"/>
              <w:bottom w:val="none"/>
              <w:right w:val="none"/>
            </w:tcBorders>
            <w:shd w:fill="D1FAE5"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vision I am working towards</w:t>
            </w:r>
          </w:p>
          <w:p>
            <w:pPr>
              <w:spacing w:before="0" w:after="0"/>
            </w:pPr>
            <w:r>
              <w:rPr>
                <w:rFonts w:ascii="Arial" w:cs="Arial" w:eastAsia="Arial" w:hAnsi="Arial"/>
                <w:color w:val="334155"/>
                <w:sz w:val="21"/>
                <w:szCs w:val="21"/>
              </w:rPr>
              <w:t xml:space="preserve">Every learner and member of staff at Weston College can access, engage with, and benefit from digital learning, regardless of their ability, language, background, connectivity, or prior experience. That is the standard I am proposing we set. It is ambitious. It is also achievable, because most of the tools we need to get there are already available to us.</w:t>
            </w:r>
          </w:p>
        </w:tc>
      </w:tr>
    </w:tbl>
    <w:p>
      <w:pPr>
        <w:spacing w:before="120" w:after="0"/>
      </w:pPr>
      <w:r>
        <w:t xml:space="preserve"/>
      </w:r>
    </w:p>
    <w:p>
      <w:pPr>
        <w:pStyle w:val="Heading2"/>
        <w:spacing w:before="280" w:after="160"/>
      </w:pPr>
      <w:r>
        <w:rPr>
          <w:rFonts w:ascii="Arial" w:cs="Arial" w:eastAsia="Arial" w:hAnsi="Arial"/>
          <w:b/>
          <w:bCs/>
          <w:color w:val="0D2240"/>
          <w:sz w:val="28"/>
          <w:szCs w:val="28"/>
        </w:rPr>
        <w:t xml:space="preserve">Why this matters right now</w:t>
      </w:r>
    </w:p>
    <w:p>
      <w:pPr>
        <w:spacing w:before="60" w:after="160"/>
      </w:pPr>
      <w:r>
        <w:rPr>
          <w:rFonts w:ascii="Arial" w:cs="Arial" w:eastAsia="Arial" w:hAnsi="Arial"/>
          <w:b w:val="false"/>
          <w:bCs w:val="false"/>
          <w:i w:val="false"/>
          <w:iCs w:val="false"/>
          <w:color w:val="334155"/>
          <w:sz w:val="22"/>
          <w:szCs w:val="22"/>
        </w:rPr>
        <w:t xml:space="preserve">The renewed Ofsted Education Inspection Framework from November 2025 grades Inclusion as a standalone area for the first time. That is a direct signal that inclusive provision, not just good provision, is what inspectors will be looking for. Digital inclusion is not a peripheral concern in that context. It is central to it.</w:t>
      </w:r>
    </w:p>
    <w:p>
      <w:pPr>
        <w:spacing w:before="60" w:after="160"/>
      </w:pPr>
      <w:r>
        <w:rPr>
          <w:rFonts w:ascii="Arial" w:cs="Arial" w:eastAsia="Arial" w:hAnsi="Arial"/>
          <w:b w:val="false"/>
          <w:bCs w:val="false"/>
          <w:i w:val="false"/>
          <w:iCs w:val="false"/>
          <w:color w:val="334155"/>
          <w:sz w:val="22"/>
          <w:szCs w:val="22"/>
        </w:rPr>
        <w:t xml:space="preserve">Skills England 2026 positions digital literacy alongside English and Maths as a national priority. If digital skills are to be treated with the same seriousness as English and Maths, we need to be honest about which learners currently cannot access digital skills development equitably. ESOL learners, SEND learners, learners without reliable devices or connectivity, and learners in areas with poor infrastructure are all at risk of being left behind in a provision framework that assumes everyone starts from the same place.</w:t>
      </w:r>
    </w:p>
    <w:p>
      <w:pPr>
        <w:spacing w:before="60" w:after="160"/>
      </w:pPr>
      <w:r>
        <w:rPr>
          <w:rFonts w:ascii="Arial" w:cs="Arial" w:eastAsia="Arial" w:hAnsi="Arial"/>
          <w:b w:val="false"/>
          <w:bCs w:val="false"/>
          <w:i w:val="false"/>
          <w:iCs w:val="false"/>
          <w:color w:val="334155"/>
          <w:sz w:val="22"/>
          <w:szCs w:val="22"/>
        </w:rPr>
        <w:t xml:space="preserve">The WEF Future of Jobs Report 2025 identifies AI literacy, Big Data, and digital skills as the three fastest growing global competencies for the period 2025 to 2030. If we do not address the access barriers now, the gap between those who can participate in digital skills development and those who cannot will widen year on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A7EA4" w:sz="16"/>
              <w:bottom w:val="none"/>
              <w:right w:val="none"/>
            </w:tcBorders>
            <w:shd w:fill="E8F4F9"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Quality First Teaching alignment</w:t>
            </w:r>
          </w:p>
          <w:p>
            <w:pPr>
              <w:spacing w:before="0" w:after="0"/>
            </w:pPr>
            <w:r>
              <w:rPr>
                <w:rFonts w:ascii="Arial" w:cs="Arial" w:eastAsia="Arial" w:hAnsi="Arial"/>
                <w:color w:val="334155"/>
                <w:sz w:val="21"/>
                <w:szCs w:val="21"/>
              </w:rPr>
              <w:t xml:space="preserve">QFT tells us that every learner should access learning through high quality, inclusive, differentiated teaching without needing a separate intervention. The tools and approaches in this proposal are not interventions for certain learners. They are the standard environment that makes QFT achievable in a digital first teaching context. When a staff member runs the Accessibility Checker before uploading a resource, they are doing QFT. When they enable Live Captions as a default in every Teams session, they are doing QFT. When they show Immersive Reader to every learner at induction rather than only those with a recorded need, they are doing QFT. Learning Without Barriers is, at its heart, a practical QFT framework for the digital age.</w:t>
            </w:r>
          </w:p>
        </w:tc>
      </w:tr>
    </w:tbl>
    <w:p>
      <w:pPr>
        <w:spacing w:before="120" w:after="0"/>
      </w:pPr>
      <w:r>
        <w:t xml:space="preserve"/>
      </w:r>
    </w:p>
    <w:p>
      <w:r>
        <w:br w:type="page"/>
      </w:r>
    </w:p>
    <w:p>
      <w:pPr>
        <w:pStyle w:val="Heading1"/>
        <w:spacing w:before="360" w:after="200"/>
      </w:pPr>
      <w:r>
        <w:rPr>
          <w:rFonts w:ascii="Arial" w:cs="Arial" w:eastAsia="Arial" w:hAnsi="Arial"/>
          <w:b/>
          <w:bCs/>
          <w:color w:val="0D2240"/>
          <w:sz w:val="36"/>
          <w:szCs w:val="36"/>
        </w:rPr>
        <w:t xml:space="preserve">The Five Strategic Principles</w:t>
      </w:r>
    </w:p>
    <w:p>
      <w:pPr>
        <w:spacing w:before="60" w:after="160"/>
      </w:pPr>
      <w:r>
        <w:rPr>
          <w:rFonts w:ascii="Arial" w:cs="Arial" w:eastAsia="Arial" w:hAnsi="Arial"/>
          <w:b w:val="false"/>
          <w:bCs w:val="false"/>
          <w:i w:val="false"/>
          <w:iCs w:val="false"/>
          <w:color w:val="334155"/>
          <w:sz w:val="22"/>
          <w:szCs w:val="22"/>
        </w:rPr>
        <w:t xml:space="preserve">These five principles are what I want Learning Without Barriers to be built on. They are not a mission statement. They are a set of practical commitments that should shape every decision we make about digital learning environments, staff development, and learner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0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1. Inclusion by design, not by reaction</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inclusion must be built into every process, system, and resource from the start, not retrofitted after the fact. This applies to curriculum design, staff development, IT procurement, and learner communications. WCAG 2.2 AA is the floor, not the ceiling.</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2. Start with our most excluded learners</w:t>
            </w:r>
          </w:p>
        </w:tc>
        <w:tc>
          <w:tcPr>
            <w:tcW w:type="dxa" w:w="6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ESOL and SEND learners face the sharpest digital barriers. If we design our systems and resources to work for them, they will work better for everyone. These communities are the proof of concept and the quality standard.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3. Everyone is responsible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Digital inclusion is not the responsibility of one team or one role. It is owned by the whole college: teaching staff, support teams, IT, student services, and leadership. This proposal will not work if it lives only in the digital pedagogy team.</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4. Quick wins build momentum</w:t>
            </w:r>
          </w:p>
        </w:tc>
        <w:tc>
          <w:tcPr>
            <w:tcW w:type="dxa" w:w="60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Transformation takes time. The quickest and most impactful actions use free tools already available, primarily Microsoft 365 and Jisc resources. Immersive Reader, Live Captions, the Accessibility Checker, and Microsoft Translator cost nothing and are available right now.</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5. Learner voice is non negotiable</w:t>
            </w:r>
          </w:p>
        </w:tc>
        <w:tc>
          <w:tcPr>
            <w:tcW w:type="dxa" w:w="60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Learners, particularly ESOL, SEND, and young people from disadvantaged backgrounds, must help shape this strategy as genuine co designers, not as a consultation tick box exercise. What they tell us about their experience of digital provision should change what we do.</w:t>
            </w:r>
          </w:p>
        </w:tc>
      </w:tr>
    </w:tbl>
    <w:p>
      <w:r>
        <w:br w:type="page"/>
      </w:r>
    </w:p>
    <w:p>
      <w:pPr>
        <w:pStyle w:val="Heading1"/>
        <w:spacing w:before="360" w:after="200"/>
      </w:pPr>
      <w:r>
        <w:rPr>
          <w:rFonts w:ascii="Arial" w:cs="Arial" w:eastAsia="Arial" w:hAnsi="Arial"/>
          <w:b/>
          <w:bCs/>
          <w:color w:val="0D2240"/>
          <w:sz w:val="36"/>
          <w:szCs w:val="36"/>
        </w:rPr>
        <w:t xml:space="preserve">The Three Pillars</w:t>
      </w:r>
    </w:p>
    <w:p>
      <w:pPr>
        <w:spacing w:before="60" w:after="160"/>
      </w:pPr>
      <w:r>
        <w:rPr>
          <w:rFonts w:ascii="Arial" w:cs="Arial" w:eastAsia="Arial" w:hAnsi="Arial"/>
          <w:b w:val="false"/>
          <w:bCs w:val="false"/>
          <w:i w:val="false"/>
          <w:iCs w:val="false"/>
          <w:color w:val="334155"/>
          <w:sz w:val="22"/>
          <w:szCs w:val="22"/>
        </w:rPr>
        <w:t xml:space="preserve">The Learning Without Barriers strategy rests on three interconnected pillars. Each one is necessary. None of them works in isolation. Together they create the conditions where every learner at Weston College can participate fully in digital learning.</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CBD5E1" w:sz="1"/>
              <w:left w:val="single" w:color="CBD5E1" w:sz="1"/>
              <w:bottom w:val="single" w:color="CBD5E1" w:sz="1"/>
              <w:right w:val="single" w:color="CBD5E1" w:sz="1"/>
            </w:tcBorders>
            <w:shd w:fill="0A7EA4" w:val="clear"/>
            <w:tcMar>
              <w:top w:type="dxa" w:w="80"/>
              <w:left w:type="dxa" w:w="160"/>
              <w:bottom w:type="dxa" w:w="80"/>
              <w:right w:type="dxa" w:w="160"/>
            </w:tcMar>
          </w:tcPr>
          <w:p>
            <w:r>
              <w:rPr>
                <w:rFonts w:ascii="Arial" w:cs="Arial" w:eastAsia="Arial" w:hAnsi="Arial"/>
                <w:b/>
                <w:bCs/>
                <w:color w:val="FFFFFF"/>
                <w:sz w:val="22"/>
                <w:szCs w:val="22"/>
              </w:rPr>
              <w:t xml:space="preserve">Pillar 1  |  Foundations</w:t>
            </w:r>
          </w:p>
        </w:tc>
      </w:tr>
      <w:tr>
        <w:tc>
          <w:tcPr>
            <w:tcW w:type="dxa" w:w="9026"/>
            <w:tcBorders>
              <w:top w:val="none"/>
              <w:left w:val="thick" w:color="0A7EA4" w:sz="16"/>
              <w:bottom w:val="single" w:color="CBD5E1" w:sz="1"/>
              <w:right w:val="single" w:color="CBD5E1" w:sz="1"/>
            </w:tcBorders>
            <w:shd w:fill="E8F4F9" w:val="clear"/>
            <w:tcMar>
              <w:top w:type="dxa" w:w="120"/>
              <w:left w:type="dxa" w:w="200"/>
              <w:bottom w:type="dxa" w:w="120"/>
              <w:right w:type="dxa" w:w="200"/>
            </w:tcMar>
          </w:tcPr>
          <w:p>
            <w:pPr>
              <w:spacing w:before="0" w:after="0"/>
            </w:pPr>
            <w:r>
              <w:rPr>
                <w:rFonts w:ascii="Arial" w:cs="Arial" w:eastAsia="Arial" w:hAnsi="Arial"/>
                <w:color w:val="334155"/>
                <w:sz w:val="21"/>
                <w:szCs w:val="21"/>
              </w:rPr>
              <w:t xml:space="preserve">Accessibility as standard practice across all digital resources. WCAG 2.2 AA compliance for all uploaded materials. Immersive Reader, Live Captions, and the Office Accessibility Checker embedded in everyday staff practice. A consistent Teams environment structure college wide, covering naming conventions, channel structure, and accessible file formats. The Jisc FE Accessibility Training Matrix as the backbone of staff development in this area.</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CBD5E1" w:sz="1"/>
              <w:left w:val="single" w:color="CBD5E1" w:sz="1"/>
              <w:bottom w:val="single" w:color="CBD5E1" w:sz="1"/>
              <w:right w:val="single" w:color="CBD5E1" w:sz="1"/>
            </w:tcBorders>
            <w:shd w:fill="B45309" w:val="clear"/>
            <w:tcMar>
              <w:top w:type="dxa" w:w="80"/>
              <w:left w:type="dxa" w:w="160"/>
              <w:bottom w:type="dxa" w:w="80"/>
              <w:right w:type="dxa" w:w="160"/>
            </w:tcMar>
          </w:tcPr>
          <w:p>
            <w:r>
              <w:rPr>
                <w:rFonts w:ascii="Arial" w:cs="Arial" w:eastAsia="Arial" w:hAnsi="Arial"/>
                <w:b/>
                <w:bCs/>
                <w:color w:val="FFFFFF"/>
                <w:sz w:val="22"/>
                <w:szCs w:val="22"/>
              </w:rPr>
              <w:t xml:space="preserve">Pillar 2  |  Systems and Culture</w:t>
            </w:r>
          </w:p>
        </w:tc>
      </w:tr>
      <w:tr>
        <w:tc>
          <w:tcPr>
            <w:tcW w:type="dxa" w:w="9026"/>
            <w:tcBorders>
              <w:top w:val="none"/>
              <w:left w:val="thick" w:color="B45309" w:sz="16"/>
              <w:bottom w:val="single" w:color="CBD5E1" w:sz="1"/>
              <w:right w:val="single" w:color="CBD5E1" w:sz="1"/>
            </w:tcBorders>
            <w:shd w:fill="FEF3C7" w:val="clear"/>
            <w:tcMar>
              <w:top w:type="dxa" w:w="120"/>
              <w:left w:type="dxa" w:w="200"/>
              <w:bottom w:type="dxa" w:w="120"/>
              <w:right w:type="dxa" w:w="200"/>
            </w:tcMar>
          </w:tcPr>
          <w:p>
            <w:pPr>
              <w:spacing w:before="0" w:after="0"/>
            </w:pPr>
            <w:r>
              <w:rPr>
                <w:rFonts w:ascii="Arial" w:cs="Arial" w:eastAsia="Arial" w:hAnsi="Arial"/>
                <w:color w:val="334155"/>
                <w:sz w:val="21"/>
                <w:szCs w:val="21"/>
              </w:rPr>
              <w:t xml:space="preserve">Consistent Teams environment standards across all curriculum areas. Separate CPD pathways for staff digital skills and learner digital skills, because they are not the same need. Staff Foundation Awareness of AI via Jisc Module 1 before any AI tool is introduced into teaching. A Digital Resource Quality Standard, a simple checklist that every resource passes before it is uploaded. The Jisc Building Digital Capability tool as the staff baseline.</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CBD5E1" w:sz="1"/>
              <w:left w:val="single" w:color="CBD5E1" w:sz="1"/>
              <w:bottom w:val="single" w:color="CBD5E1" w:sz="1"/>
              <w:right w:val="single" w:color="CBD5E1" w:sz="1"/>
            </w:tcBorders>
            <w:shd w:fill="065F46" w:val="clear"/>
            <w:tcMar>
              <w:top w:type="dxa" w:w="80"/>
              <w:left w:type="dxa" w:w="160"/>
              <w:bottom w:type="dxa" w:w="80"/>
              <w:right w:type="dxa" w:w="160"/>
            </w:tcMar>
          </w:tcPr>
          <w:p>
            <w:r>
              <w:rPr>
                <w:rFonts w:ascii="Arial" w:cs="Arial" w:eastAsia="Arial" w:hAnsi="Arial"/>
                <w:b/>
                <w:bCs/>
                <w:color w:val="FFFFFF"/>
                <w:sz w:val="22"/>
                <w:szCs w:val="22"/>
              </w:rPr>
              <w:t xml:space="preserve">Pillar 3  |  Equity and Empowerment</w:t>
            </w:r>
          </w:p>
        </w:tc>
      </w:tr>
      <w:tr>
        <w:tc>
          <w:tcPr>
            <w:tcW w:type="dxa" w:w="9026"/>
            <w:tcBorders>
              <w:top w:val="none"/>
              <w:left w:val="thick" w:color="065F46" w:sz="16"/>
              <w:bottom w:val="single" w:color="CBD5E1" w:sz="1"/>
              <w:right w:val="single" w:color="CBD5E1" w:sz="1"/>
            </w:tcBorders>
            <w:shd w:fill="D1FAE5" w:val="clear"/>
            <w:tcMar>
              <w:top w:type="dxa" w:w="120"/>
              <w:left w:type="dxa" w:w="200"/>
              <w:bottom w:type="dxa" w:w="120"/>
              <w:right w:type="dxa" w:w="200"/>
            </w:tcMar>
          </w:tcPr>
          <w:p>
            <w:pPr>
              <w:spacing w:before="0" w:after="0"/>
            </w:pPr>
            <w:r>
              <w:rPr>
                <w:rFonts w:ascii="Arial" w:cs="Arial" w:eastAsia="Arial" w:hAnsi="Arial"/>
                <w:color w:val="334155"/>
                <w:sz w:val="21"/>
                <w:szCs w:val="21"/>
              </w:rPr>
              <w:t xml:space="preserve">Genuine learner voice in shaping digital provision. Partnership with Good Things Foundation for device and data support via the National Databank, providing free SIM cards and data for learners without connectivity. Weston College as a community digital inclusion asset, not just an internal provider. A Student Digital Inclusion Advisory Group that has real influence and a genuine feedback loop to leadership.</w:t>
            </w:r>
          </w:p>
        </w:tc>
      </w:tr>
    </w:tbl>
    <w:p>
      <w:pPr>
        <w:spacing w:before="120" w:after="0"/>
      </w:pPr>
      <w:r>
        <w:t xml:space="preserve"/>
      </w:r>
    </w:p>
    <w:p>
      <w:r>
        <w:br w:type="page"/>
      </w:r>
    </w:p>
    <w:p>
      <w:pPr>
        <w:pStyle w:val="Heading1"/>
        <w:spacing w:before="360" w:after="200"/>
      </w:pPr>
      <w:r>
        <w:rPr>
          <w:rFonts w:ascii="Arial" w:cs="Arial" w:eastAsia="Arial" w:hAnsi="Arial"/>
          <w:b/>
          <w:bCs/>
          <w:color w:val="0D2240"/>
          <w:sz w:val="36"/>
          <w:szCs w:val="36"/>
        </w:rPr>
        <w:t xml:space="preserve">The Immediate Quick Wins</w:t>
      </w:r>
    </w:p>
    <w:p>
      <w:pPr>
        <w:spacing w:before="240" w:after="60"/>
      </w:pPr>
      <w:r>
        <w:rPr>
          <w:rFonts w:ascii="Arial" w:cs="Arial" w:eastAsia="Arial" w:hAnsi="Arial"/>
          <w:b/>
          <w:bCs/>
          <w:caps/>
          <w:color w:val="0A7EA4"/>
          <w:sz w:val="18"/>
          <w:szCs w:val="18"/>
        </w:rPr>
        <w:t xml:space="preserve">Free Microsoft 365 Tools Available Right Now</w:t>
      </w:r>
    </w:p>
    <w:p>
      <w:pPr>
        <w:spacing w:before="60" w:after="160"/>
      </w:pPr>
      <w:r>
        <w:rPr>
          <w:rFonts w:ascii="Arial" w:cs="Arial" w:eastAsia="Arial" w:hAnsi="Arial"/>
          <w:b w:val="false"/>
          <w:bCs w:val="false"/>
          <w:i w:val="false"/>
          <w:iCs w:val="false"/>
          <w:color w:val="334155"/>
          <w:sz w:val="22"/>
          <w:szCs w:val="22"/>
        </w:rPr>
        <w:t xml:space="preserve">The Microsoft 365 suite already available to the college contains a powerful set of accessibility and inclusion tools that cost nothing additional and require no procurement decisions. These are the first things I want to move on. None of them require a budget conversation. All of them can start this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6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Benefit for ESOL and SEND learners</w:t>
            </w:r>
          </w:p>
        </w:tc>
        <w:tc>
          <w:tcPr>
            <w:tcW w:type="dxa" w:w="3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Action needed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Immersive Reader</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Text to speech, translation into 100 or more languages, text spacing and font adjustments. Built into Teams, Word, OneNote, and Forms. Non stigmatising because it is available to everyone.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Train all staff to demonstrate it at induction. Make it a standard part of every learner's first session, not only those with identified needs.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Live Captions and Translator in Teams</w:t>
            </w:r>
          </w:p>
        </w:tc>
        <w:tc>
          <w:tcPr>
            <w:tcW w:type="dxa" w:w="36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Real time captions in 60 or more languages. Transforms access for d and Deaf, hard of hearing, and ESOL learners in all live and recorded sessions.</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Enable as standard in all Teams meetings college wide. This requires an IT configuration decision. It is one decision and it changes the experience for every learner in every session.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Accessibility Checker</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Checks all Office documents for colour contrast, alt text, reading order, and heading structure. Helps all learners, including those with visual impairments.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Build into staff CPD. Add to the QA resource checklist. Require it for all uploaded teaching materials. It takes seconds.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Dictation and Speech to Text</w:t>
            </w:r>
          </w:p>
        </w:tc>
        <w:tc>
          <w:tcPr>
            <w:tcW w:type="dxa" w:w="36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Allows learners with limited mobility, dyslexia, or low written English to produce work via speech. Reduces assessment barriers significantly.</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Promote as a standard learning adjustment. Share with the SEND team. Create a learner facing how to card for induction packs.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Microsoft Reading Coach</w:t>
            </w:r>
          </w:p>
        </w:tc>
        <w:tc>
          <w:tcPr>
            <w:tcW w:type="dxa" w:w="36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Free AI powered reading fluency tool with strong evidence for reading level improvement. Used by 500,000 or more learners across 190 countries. Particularly useful for ESOL learners.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Pilot with ESOL groups this term. Measure reading levels before and after. Use as evidence for the strategy at the end of the year.</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Microsoft Translator</w:t>
            </w:r>
          </w:p>
        </w:tc>
        <w:tc>
          <w:tcPr>
            <w:tcW w:type="dxa" w:w="36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Real time multi device conversation translation. Bridges language barriers between learners, parents, and staff instantly in meetings and classrooms.</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Deploy for ESOL parent evenings and initial enrolment conversations. Train student services and reception staff before the start of the next academic year.</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5B21B6" w:sz="16"/>
              <w:bottom w:val="none"/>
              <w:right w:val="none"/>
            </w:tcBorders>
            <w:shd w:fill="EDE9FE"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UDL alignment I am making</w:t>
            </w:r>
          </w:p>
          <w:p>
            <w:pPr>
              <w:spacing w:before="0" w:after="0"/>
            </w:pPr>
            <w:r>
              <w:rPr>
                <w:rFonts w:ascii="Arial" w:cs="Arial" w:eastAsia="Arial" w:hAnsi="Arial"/>
                <w:color w:val="334155"/>
                <w:sz w:val="21"/>
                <w:szCs w:val="21"/>
              </w:rPr>
              <w:t xml:space="preserve">Universal Design for Learning asks us to provide multiple means of representation, multiple means of action and expression, and multiple means of engagement for all learners. Every tool in the table above addresses at least one of those three principles, and most address more than one. Immersive Reader provides multiple means of representation. Speech to text provides multiple means of expression. Real world digital tasks provide multiple means of engagement. This is not a separate UDL programme. It is UDL already, if we choose to name it and build it in consistently.</w:t>
            </w:r>
          </w:p>
        </w:tc>
      </w:tr>
    </w:tbl>
    <w:p>
      <w:r>
        <w:br w:type="page"/>
      </w:r>
    </w:p>
    <w:p>
      <w:pPr>
        <w:pStyle w:val="Heading1"/>
        <w:spacing w:before="360" w:after="200"/>
      </w:pPr>
      <w:r>
        <w:rPr>
          <w:rFonts w:ascii="Arial" w:cs="Arial" w:eastAsia="Arial" w:hAnsi="Arial"/>
          <w:b/>
          <w:bCs/>
          <w:color w:val="0D2240"/>
          <w:sz w:val="36"/>
          <w:szCs w:val="36"/>
        </w:rPr>
        <w:t xml:space="preserve">WCAG 2.2 AA: The Non Negotiable Standard</w:t>
      </w:r>
    </w:p>
    <w:p>
      <w:pPr>
        <w:spacing w:before="60" w:after="160"/>
      </w:pPr>
      <w:r>
        <w:rPr>
          <w:rFonts w:ascii="Arial" w:cs="Arial" w:eastAsia="Arial" w:hAnsi="Arial"/>
          <w:b w:val="false"/>
          <w:bCs w:val="false"/>
          <w:i w:val="false"/>
          <w:iCs w:val="false"/>
          <w:color w:val="334155"/>
          <w:sz w:val="22"/>
          <w:szCs w:val="22"/>
        </w:rPr>
        <w:t xml:space="preserve">WCAG 2.2 AA is the internationally recognised standard for accessible digital content and the legally required standard for UK public sector organisations. I want it to be the minimum standard for every digital resource created by any member of staff at Weston College.</w:t>
      </w:r>
    </w:p>
    <w:p>
      <w:pPr>
        <w:spacing w:before="60" w:after="160"/>
      </w:pPr>
      <w:r>
        <w:rPr>
          <w:rFonts w:ascii="Arial" w:cs="Arial" w:eastAsia="Arial" w:hAnsi="Arial"/>
          <w:b w:val="false"/>
          <w:bCs w:val="false"/>
          <w:i w:val="false"/>
          <w:iCs w:val="false"/>
          <w:color w:val="334155"/>
          <w:sz w:val="22"/>
          <w:szCs w:val="22"/>
        </w:rPr>
        <w:t xml:space="preserve">The good news is that most of the checking is already done for us. The Microsoft Office Accessibility Checker is built into every Office application and checks against most WCAG requirements automatically. Running it before uploading a resource takes seconds. It is not extra work. It is a different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WCAG Requirement</w:t>
            </w:r>
          </w:p>
        </w:tc>
        <w:tc>
          <w:tcPr>
            <w:tcW w:type="dxa" w:w="38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 for staff</w:t>
            </w:r>
          </w:p>
        </w:tc>
        <w:tc>
          <w:tcPr>
            <w:tcW w:type="dxa" w:w="28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How to meet it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Minimum 4.5:1 colour contrast for normal text</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Text and background colours must be sufficiently different for people with low vision or colour blindness to read. Dark text on a white background is always fine. Light grey on white is usually not.</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Use the Accessibility Checker in Office. Use the WebAIM Contrast Checker for custom colours in documents and presentations.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Alternative text on all images</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Every image in a document or presentation needs a text description of two sentences or fewer, describing what is shown and why it matters in context. Decorative images should be marked as decorative.</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Right click any image in Word or PowerPoint, select Edit Alt Text, and write a brief, purposeful description. The Accessibility Checker will flag images without alt text.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Correct heading structure in all documents</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Headings are not just for formatting. They create navigational structure for screen reader users. Heading 1 for the title, Heading 2 for major sections, Heading 3 for subsections, in order.</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Use the Styles pane in Word rather than manually bold text to look like a heading. The Accessibility Checker will flag heading structure issues.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Captions on all video content</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Any video shared with learners must have captions, whether created by staff or embedded from external platforms. Auto generated captions should always be reviewed before publishing.</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Enable auto captions in Teams recordings. Use YouTube auto captions and review them before sharing. Use Stream captions for any content uploaded to SharePoint.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Readable fonts and sufficient text size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Minimum 12 point font for body text in documents. Sans serif fonts such as Arial, Calibri, and Aptos are more readable on screen than serif fonts. Avoid using text in images, which cannot be resized.</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Set document defaults in Word. The college font standard is Arial 12 point for body text. Check any PDF exports, which sometimes reduce text size.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Accessible file formats</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PDFs exported from Word can lose structural information unless created correctly. Learners using screen readers or Immersive Reader need the original Word or accessible PDF format.</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Share Word documents directly where possible. When PDFs are needed, use Save As PDF from Word with the Document Structure Tags for Accessibility option enabled.</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65F46" w:sz="16"/>
              <w:bottom w:val="none"/>
              <w:right w:val="none"/>
            </w:tcBorders>
            <w:shd w:fill="D1FAE5"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Why this matters for learners right now, not just at inspection</w:t>
            </w:r>
          </w:p>
          <w:p>
            <w:pPr>
              <w:spacing w:before="0" w:after="0"/>
            </w:pPr>
            <w:r>
              <w:rPr>
                <w:rFonts w:ascii="Arial" w:cs="Arial" w:eastAsia="Arial" w:hAnsi="Arial"/>
                <w:color w:val="334155"/>
                <w:sz w:val="21"/>
                <w:szCs w:val="21"/>
              </w:rPr>
              <w:t xml:space="preserve">A learner with dyslexia who cannot use Immersive Reader on a poorly structured PDF is not being failed at inspection. They are being failed in their Tuesday afternoon session. A learner with low vision who cannot read a low contrast resource is not encountering a compliance problem. They are encountering a learning barrier. WCAG 2.2 AA is not bureaucratic compliance. It is the practical expression of our obligation to every learner in every room.</w:t>
            </w:r>
          </w:p>
        </w:tc>
      </w:tr>
    </w:tbl>
    <w:p>
      <w:r>
        <w:br w:type="page"/>
      </w:r>
    </w:p>
    <w:p>
      <w:pPr>
        <w:pStyle w:val="Heading1"/>
        <w:spacing w:before="360" w:after="200"/>
      </w:pPr>
      <w:r>
        <w:rPr>
          <w:rFonts w:ascii="Arial" w:cs="Arial" w:eastAsia="Arial" w:hAnsi="Arial"/>
          <w:b/>
          <w:bCs/>
          <w:color w:val="0D2240"/>
          <w:sz w:val="36"/>
          <w:szCs w:val="36"/>
        </w:rPr>
        <w:t xml:space="preserve">Specific Provision: FIP, ESOL, and SEND Learners</w:t>
      </w:r>
    </w:p>
    <w:p>
      <w:pPr>
        <w:spacing w:before="60" w:after="160"/>
      </w:pPr>
      <w:r>
        <w:rPr>
          <w:rFonts w:ascii="Arial" w:cs="Arial" w:eastAsia="Arial" w:hAnsi="Arial"/>
          <w:b w:val="false"/>
          <w:bCs w:val="false"/>
          <w:i w:val="false"/>
          <w:iCs w:val="false"/>
          <w:color w:val="334155"/>
          <w:sz w:val="22"/>
          <w:szCs w:val="22"/>
        </w:rPr>
        <w:t xml:space="preserve">The five sections below set out specific considerations and tools for the learner groups most acutely affected by digital exclusion. These are not separate programmes. They are part of the universal approach that Learning Without Barriers is proposing. The starting point for FIP learners or ESOL learners is different. The destination, full participation in digital learning, is the same.</w:t>
      </w:r>
    </w:p>
    <w:p>
      <w:pPr>
        <w:pStyle w:val="Heading2"/>
        <w:spacing w:before="280" w:after="160"/>
      </w:pPr>
      <w:r>
        <w:rPr>
          <w:rFonts w:ascii="Arial" w:cs="Arial" w:eastAsia="Arial" w:hAnsi="Arial"/>
          <w:b/>
          <w:bCs/>
          <w:color w:val="0D2240"/>
          <w:sz w:val="28"/>
          <w:szCs w:val="28"/>
        </w:rPr>
        <w:t xml:space="preserve">FIP Autism (FAU)</w:t>
      </w:r>
    </w:p>
    <w:p>
      <w:pPr>
        <w:spacing w:before="60" w:after="160"/>
      </w:pPr>
      <w:r>
        <w:rPr>
          <w:rFonts w:ascii="Arial" w:cs="Arial" w:eastAsia="Arial" w:hAnsi="Arial"/>
          <w:b w:val="false"/>
          <w:bCs w:val="false"/>
          <w:i w:val="false"/>
          <w:iCs w:val="false"/>
          <w:color w:val="334155"/>
          <w:sz w:val="22"/>
          <w:szCs w:val="22"/>
        </w:rPr>
        <w:t xml:space="preserve">Many autistic learners have strong digital aptitude, and this should be recognised and built on explicitly in ILPs, not left as an assumed background strength. Predictable, consistent digital environments reduce anxiety significantly for many learners in this group. Sudden platform changes without notice can be genuinely distressing, not merely inconvenient.</w:t>
      </w:r>
    </w:p>
    <w:p>
      <w:pPr>
        <w:spacing w:before="60" w:after="160"/>
      </w:pPr>
      <w:r>
        <w:rPr>
          <w:rFonts w:ascii="Arial" w:cs="Arial" w:eastAsia="Arial" w:hAnsi="Arial"/>
          <w:b w:val="false"/>
          <w:bCs w:val="false"/>
          <w:i w:val="false"/>
          <w:iCs w:val="false"/>
          <w:color w:val="334155"/>
          <w:sz w:val="22"/>
          <w:szCs w:val="22"/>
        </w:rPr>
        <w:t xml:space="preserve">The digital environment itself is a therapeutic and educational resource when designed with this in mind. Consistent Teams layout, clear file naming conventions, predictable notification patterns, and advance notice of any changes are not special adjustments. They are good design practice that benefits everyone.</w:t>
      </w:r>
    </w:p>
    <w:p>
      <w:pPr>
        <w:spacing w:before="60" w:after="80"/>
      </w:pPr>
      <w:r>
        <w:rPr>
          <w:rFonts w:ascii="Arial" w:cs="Arial" w:eastAsia="Arial" w:hAnsi="Arial"/>
          <w:b/>
          <w:bCs/>
          <w:color w:val="0D2240"/>
          <w:sz w:val="21"/>
          <w:szCs w:val="21"/>
        </w:rPr>
        <w:t xml:space="preserve">Key tools for this cohort:</w:t>
      </w:r>
    </w:p>
    <w:p>
      <w:pPr>
        <w:pStyle w:val="ListParagraph"/>
        <w:numPr>
          <w:ilvl w:val="0"/>
          <w:numId w:val="2"/>
        </w:numPr>
        <w:spacing w:before="40" w:after="60"/>
      </w:pPr>
      <w:r>
        <w:rPr>
          <w:rFonts w:ascii="Arial" w:cs="Arial" w:eastAsia="Arial" w:hAnsi="Arial"/>
          <w:color w:val="334155"/>
          <w:sz w:val="21"/>
          <w:szCs w:val="21"/>
        </w:rPr>
        <w:t xml:space="preserve">Proloquo2Go and Grid 3 for AAC communication support</w:t>
      </w:r>
    </w:p>
    <w:p>
      <w:pPr>
        <w:pStyle w:val="ListParagraph"/>
        <w:numPr>
          <w:ilvl w:val="0"/>
          <w:numId w:val="2"/>
        </w:numPr>
        <w:spacing w:before="40" w:after="60"/>
      </w:pPr>
      <w:r>
        <w:rPr>
          <w:rFonts w:ascii="Arial" w:cs="Arial" w:eastAsia="Arial" w:hAnsi="Arial"/>
          <w:color w:val="334155"/>
          <w:sz w:val="21"/>
          <w:szCs w:val="21"/>
        </w:rPr>
        <w:t xml:space="preserve">Choiceworks for visual schedules and predictable daily structure</w:t>
      </w:r>
    </w:p>
    <w:p>
      <w:pPr>
        <w:pStyle w:val="ListParagraph"/>
        <w:numPr>
          <w:ilvl w:val="0"/>
          <w:numId w:val="2"/>
        </w:numPr>
        <w:spacing w:before="40" w:after="60"/>
      </w:pPr>
      <w:r>
        <w:rPr>
          <w:rFonts w:ascii="Arial" w:cs="Arial" w:eastAsia="Arial" w:hAnsi="Arial"/>
          <w:color w:val="334155"/>
          <w:sz w:val="21"/>
          <w:szCs w:val="21"/>
        </w:rPr>
        <w:t xml:space="preserve">Sensory settings adjusted on all college devices: screen brightness, notification sounds, visual complexity</w:t>
      </w:r>
    </w:p>
    <w:p>
      <w:pPr>
        <w:pStyle w:val="ListParagraph"/>
        <w:numPr>
          <w:ilvl w:val="0"/>
          <w:numId w:val="2"/>
        </w:numPr>
        <w:spacing w:before="40" w:after="60"/>
      </w:pPr>
      <w:r>
        <w:rPr>
          <w:rFonts w:ascii="Arial" w:cs="Arial" w:eastAsia="Arial" w:hAnsi="Arial"/>
          <w:color w:val="334155"/>
          <w:sz w:val="21"/>
          <w:szCs w:val="21"/>
        </w:rPr>
        <w:t xml:space="preserve">Consistent Teams channel structure and file naming conventions maintained without sudden changes</w:t>
      </w:r>
    </w:p>
    <w:p>
      <w:pPr>
        <w:pStyle w:val="Heading2"/>
        <w:spacing w:before="280" w:after="160"/>
      </w:pPr>
      <w:r>
        <w:rPr>
          <w:rFonts w:ascii="Arial" w:cs="Arial" w:eastAsia="Arial" w:hAnsi="Arial"/>
          <w:b/>
          <w:bCs/>
          <w:color w:val="0D2240"/>
          <w:sz w:val="28"/>
          <w:szCs w:val="28"/>
        </w:rPr>
        <w:t xml:space="preserve">FIP Complex Needs (FCO)</w:t>
      </w:r>
    </w:p>
    <w:p>
      <w:pPr>
        <w:spacing w:before="60" w:after="160"/>
      </w:pPr>
      <w:r>
        <w:rPr>
          <w:rFonts w:ascii="Arial" w:cs="Arial" w:eastAsia="Arial" w:hAnsi="Arial"/>
          <w:b w:val="false"/>
          <w:bCs w:val="false"/>
          <w:i w:val="false"/>
          <w:iCs w:val="false"/>
          <w:color w:val="334155"/>
          <w:sz w:val="22"/>
          <w:szCs w:val="22"/>
        </w:rPr>
        <w:t xml:space="preserve">For learners in FCO, technology is often the primary means of communication and participation. This is not an exaggeration. For a learner who communicates via eye gaze technology, a malfunctioning or unavailable device is not an inconvenience. It is a complete barrier to participation in their own education.</w:t>
      </w:r>
    </w:p>
    <w:p>
      <w:pPr>
        <w:spacing w:before="60" w:after="160"/>
      </w:pPr>
      <w:r>
        <w:rPr>
          <w:rFonts w:ascii="Arial" w:cs="Arial" w:eastAsia="Arial" w:hAnsi="Arial"/>
          <w:b w:val="false"/>
          <w:bCs w:val="false"/>
          <w:i w:val="false"/>
          <w:iCs w:val="false"/>
          <w:color w:val="334155"/>
          <w:sz w:val="22"/>
          <w:szCs w:val="22"/>
        </w:rPr>
        <w:t xml:space="preserve">Device and software reliability for this cohort is a safeguarding and access issue, not a technical one. Staff training on assistive technology is mandatory professional development for everyone working with FCO learners, not optional CPD.</w:t>
      </w:r>
    </w:p>
    <w:p>
      <w:pPr>
        <w:spacing w:before="60" w:after="80"/>
      </w:pPr>
      <w:r>
        <w:rPr>
          <w:rFonts w:ascii="Arial" w:cs="Arial" w:eastAsia="Arial" w:hAnsi="Arial"/>
          <w:b/>
          <w:bCs/>
          <w:color w:val="0D2240"/>
          <w:sz w:val="21"/>
          <w:szCs w:val="21"/>
        </w:rPr>
        <w:t xml:space="preserve">Key tools for this cohort:</w:t>
      </w:r>
    </w:p>
    <w:p>
      <w:pPr>
        <w:pStyle w:val="ListParagraph"/>
        <w:numPr>
          <w:ilvl w:val="0"/>
          <w:numId w:val="2"/>
        </w:numPr>
        <w:spacing w:before="40" w:after="60"/>
      </w:pPr>
      <w:r>
        <w:rPr>
          <w:rFonts w:ascii="Arial" w:cs="Arial" w:eastAsia="Arial" w:hAnsi="Arial"/>
          <w:color w:val="334155"/>
          <w:sz w:val="21"/>
          <w:szCs w:val="21"/>
        </w:rPr>
        <w:t xml:space="preserve">Tobii eye gaze systems for learners without reliable motor control</w:t>
      </w:r>
    </w:p>
    <w:p>
      <w:pPr>
        <w:pStyle w:val="ListParagraph"/>
        <w:numPr>
          <w:ilvl w:val="0"/>
          <w:numId w:val="2"/>
        </w:numPr>
        <w:spacing w:before="40" w:after="60"/>
      </w:pPr>
      <w:r>
        <w:rPr>
          <w:rFonts w:ascii="Arial" w:cs="Arial" w:eastAsia="Arial" w:hAnsi="Arial"/>
          <w:color w:val="334155"/>
          <w:sz w:val="21"/>
          <w:szCs w:val="21"/>
        </w:rPr>
        <w:t xml:space="preserve">Switch access devices and adapted input hardware</w:t>
      </w:r>
    </w:p>
    <w:p>
      <w:pPr>
        <w:pStyle w:val="ListParagraph"/>
        <w:numPr>
          <w:ilvl w:val="0"/>
          <w:numId w:val="2"/>
        </w:numPr>
        <w:spacing w:before="40" w:after="60"/>
      </w:pPr>
      <w:r>
        <w:rPr>
          <w:rFonts w:ascii="Arial" w:cs="Arial" w:eastAsia="Arial" w:hAnsi="Arial"/>
          <w:color w:val="334155"/>
          <w:sz w:val="21"/>
          <w:szCs w:val="21"/>
        </w:rPr>
        <w:t xml:space="preserve">Clicker and Widgit Online for literacy and communication support</w:t>
      </w:r>
    </w:p>
    <w:p>
      <w:pPr>
        <w:pStyle w:val="ListParagraph"/>
        <w:numPr>
          <w:ilvl w:val="0"/>
          <w:numId w:val="2"/>
        </w:numPr>
        <w:spacing w:before="40" w:after="60"/>
      </w:pPr>
      <w:r>
        <w:rPr>
          <w:rFonts w:ascii="Arial" w:cs="Arial" w:eastAsia="Arial" w:hAnsi="Arial"/>
          <w:color w:val="334155"/>
          <w:sz w:val="21"/>
          <w:szCs w:val="21"/>
        </w:rPr>
        <w:t xml:space="preserve">Sensory apps and interactive digital surfaces where appropriate</w:t>
      </w:r>
    </w:p>
    <w:p>
      <w:pPr>
        <w:pStyle w:val="ListParagraph"/>
        <w:numPr>
          <w:ilvl w:val="0"/>
          <w:numId w:val="2"/>
        </w:numPr>
        <w:spacing w:before="40" w:after="60"/>
      </w:pPr>
      <w:r>
        <w:rPr>
          <w:rFonts w:ascii="Arial" w:cs="Arial" w:eastAsia="Arial" w:hAnsi="Arial"/>
          <w:color w:val="334155"/>
          <w:sz w:val="21"/>
          <w:szCs w:val="21"/>
        </w:rPr>
        <w:t xml:space="preserve">All college devices used in FCO provision must have this software available, functioning, and regularly tested</w:t>
      </w:r>
    </w:p>
    <w:p>
      <w:pPr>
        <w:pStyle w:val="Heading2"/>
        <w:spacing w:before="280" w:after="160"/>
      </w:pPr>
      <w:r>
        <w:rPr>
          <w:rFonts w:ascii="Arial" w:cs="Arial" w:eastAsia="Arial" w:hAnsi="Arial"/>
          <w:b/>
          <w:bCs/>
          <w:color w:val="0D2240"/>
          <w:sz w:val="28"/>
          <w:szCs w:val="28"/>
        </w:rPr>
        <w:t xml:space="preserve">FIP Pre Vocational (FPL)</w:t>
      </w:r>
    </w:p>
    <w:p>
      <w:pPr>
        <w:spacing w:before="60" w:after="160"/>
      </w:pPr>
      <w:r>
        <w:rPr>
          <w:rFonts w:ascii="Arial" w:cs="Arial" w:eastAsia="Arial" w:hAnsi="Arial"/>
          <w:b w:val="false"/>
          <w:bCs w:val="false"/>
          <w:i w:val="false"/>
          <w:iCs w:val="false"/>
          <w:color w:val="334155"/>
          <w:sz w:val="22"/>
          <w:szCs w:val="22"/>
        </w:rPr>
        <w:t xml:space="preserve">Pre vocational provision is designed to support the transition to employment and independent living. Digital daily living tools are not supplementary to that mission. They are central to it. The ability to use the NHS App, navigate a transport planning app, manage a bank account online, and search and apply for jobs via Indeed are not technical skills. They are life skills with direct quality of life implications.</w:t>
      </w:r>
    </w:p>
    <w:p>
      <w:pPr>
        <w:spacing w:before="60" w:after="80"/>
      </w:pPr>
      <w:r>
        <w:rPr>
          <w:rFonts w:ascii="Arial" w:cs="Arial" w:eastAsia="Arial" w:hAnsi="Arial"/>
          <w:b/>
          <w:bCs/>
          <w:color w:val="0D2240"/>
          <w:sz w:val="21"/>
          <w:szCs w:val="21"/>
        </w:rPr>
        <w:t xml:space="preserve">Key tools for this cohort:</w:t>
      </w:r>
    </w:p>
    <w:p>
      <w:pPr>
        <w:pStyle w:val="ListParagraph"/>
        <w:numPr>
          <w:ilvl w:val="0"/>
          <w:numId w:val="2"/>
        </w:numPr>
        <w:spacing w:before="40" w:after="60"/>
      </w:pPr>
      <w:r>
        <w:rPr>
          <w:rFonts w:ascii="Arial" w:cs="Arial" w:eastAsia="Arial" w:hAnsi="Arial"/>
          <w:color w:val="334155"/>
          <w:sz w:val="21"/>
          <w:szCs w:val="21"/>
        </w:rPr>
        <w:t xml:space="preserve">Read and Write for text to speech and voice dictation support</w:t>
      </w:r>
    </w:p>
    <w:p>
      <w:pPr>
        <w:pStyle w:val="ListParagraph"/>
        <w:numPr>
          <w:ilvl w:val="0"/>
          <w:numId w:val="2"/>
        </w:numPr>
        <w:spacing w:before="40" w:after="60"/>
      </w:pPr>
      <w:r>
        <w:rPr>
          <w:rFonts w:ascii="Arial" w:cs="Arial" w:eastAsia="Arial" w:hAnsi="Arial"/>
          <w:color w:val="334155"/>
          <w:sz w:val="21"/>
          <w:szCs w:val="21"/>
        </w:rPr>
        <w:t xml:space="preserve">Immersive Reader, free, built into Teams and Word, shown to every learner at induction as a standard offer rather than a special arrangement</w:t>
      </w:r>
    </w:p>
    <w:p>
      <w:pPr>
        <w:pStyle w:val="ListParagraph"/>
        <w:numPr>
          <w:ilvl w:val="0"/>
          <w:numId w:val="2"/>
        </w:numPr>
        <w:spacing w:before="40" w:after="60"/>
      </w:pPr>
      <w:r>
        <w:rPr>
          <w:rFonts w:ascii="Arial" w:cs="Arial" w:eastAsia="Arial" w:hAnsi="Arial"/>
          <w:color w:val="334155"/>
          <w:sz w:val="21"/>
          <w:szCs w:val="21"/>
        </w:rPr>
        <w:t xml:space="preserve">Clicker 8 for supported writing and communication tasks</w:t>
      </w:r>
    </w:p>
    <w:p>
      <w:pPr>
        <w:pStyle w:val="ListParagraph"/>
        <w:numPr>
          <w:ilvl w:val="0"/>
          <w:numId w:val="2"/>
        </w:numPr>
        <w:spacing w:before="40" w:after="60"/>
      </w:pPr>
      <w:r>
        <w:rPr>
          <w:rFonts w:ascii="Arial" w:cs="Arial" w:eastAsia="Arial" w:hAnsi="Arial"/>
          <w:color w:val="334155"/>
          <w:sz w:val="21"/>
          <w:szCs w:val="21"/>
        </w:rPr>
        <w:t xml:space="preserve">Taskmaster and visual timetable apps for routine, structure, and self management</w:t>
      </w:r>
    </w:p>
    <w:p>
      <w:pPr>
        <w:pStyle w:val="ListParagraph"/>
        <w:numPr>
          <w:ilvl w:val="0"/>
          <w:numId w:val="2"/>
        </w:numPr>
        <w:spacing w:before="40" w:after="60"/>
      </w:pPr>
      <w:r>
        <w:rPr>
          <w:rFonts w:ascii="Arial" w:cs="Arial" w:eastAsia="Arial" w:hAnsi="Arial"/>
          <w:color w:val="334155"/>
          <w:sz w:val="21"/>
          <w:szCs w:val="21"/>
        </w:rPr>
        <w:t xml:space="preserve">NHS App, Universal Credit portal, and online banking as core learning contexts rather than enrichment activities</w:t>
      </w:r>
    </w:p>
    <w:p>
      <w:pPr>
        <w:pStyle w:val="Heading2"/>
        <w:spacing w:before="280" w:after="160"/>
      </w:pPr>
      <w:r>
        <w:rPr>
          <w:rFonts w:ascii="Arial" w:cs="Arial" w:eastAsia="Arial" w:hAnsi="Arial"/>
          <w:b/>
          <w:bCs/>
          <w:color w:val="0D2240"/>
          <w:sz w:val="28"/>
          <w:szCs w:val="28"/>
        </w:rPr>
        <w:t xml:space="preserve">ESOL Learners (ESO)</w:t>
      </w:r>
    </w:p>
    <w:p>
      <w:pPr>
        <w:spacing w:before="60" w:after="160"/>
      </w:pPr>
      <w:r>
        <w:rPr>
          <w:rFonts w:ascii="Arial" w:cs="Arial" w:eastAsia="Arial" w:hAnsi="Arial"/>
          <w:b w:val="false"/>
          <w:bCs w:val="false"/>
          <w:i w:val="false"/>
          <w:iCs w:val="false"/>
          <w:color w:val="334155"/>
          <w:sz w:val="22"/>
          <w:szCs w:val="22"/>
        </w:rPr>
        <w:t xml:space="preserve">ESOL learners face a compound barrier that is distinct from any other group in the college: language exclusion and digital exclusion simultaneously. These need to be addressed together, not in sequence. A learner who cannot read the interface of a digital tool in English cannot benefit from it, regardless of their digital aptitude. This means the tool is not the problem. The language barrier is. And that is soluble.</w:t>
      </w:r>
    </w:p>
    <w:p>
      <w:pPr>
        <w:spacing w:before="60" w:after="160"/>
      </w:pPr>
      <w:r>
        <w:rPr>
          <w:rFonts w:ascii="Arial" w:cs="Arial" w:eastAsia="Arial" w:hAnsi="Arial"/>
          <w:b w:val="false"/>
          <w:bCs w:val="false"/>
          <w:i w:val="false"/>
          <w:iCs w:val="false"/>
          <w:color w:val="334155"/>
          <w:sz w:val="22"/>
          <w:szCs w:val="22"/>
        </w:rPr>
        <w:t xml:space="preserve">Microsoft Translator and Google Translate are scaffolding tools that bridge to independence. They are not dependency supports. A learner who uses Microsoft Translator to access a Teams notification in their first term and does not need it in their second term is not failing. They are progressing. We should be celebrating that, not worrying that we are making things too easy.</w:t>
      </w:r>
    </w:p>
    <w:p>
      <w:pPr>
        <w:spacing w:before="60" w:after="80"/>
      </w:pPr>
      <w:r>
        <w:rPr>
          <w:rFonts w:ascii="Arial" w:cs="Arial" w:eastAsia="Arial" w:hAnsi="Arial"/>
          <w:b/>
          <w:bCs/>
          <w:color w:val="0D2240"/>
          <w:sz w:val="21"/>
          <w:szCs w:val="21"/>
        </w:rPr>
        <w:t xml:space="preserve">Key tools and approaches:</w:t>
      </w:r>
    </w:p>
    <w:p>
      <w:pPr>
        <w:pStyle w:val="ListParagraph"/>
        <w:numPr>
          <w:ilvl w:val="0"/>
          <w:numId w:val="2"/>
        </w:numPr>
        <w:spacing w:before="40" w:after="60"/>
      </w:pPr>
      <w:r>
        <w:rPr>
          <w:rFonts w:ascii="Arial" w:cs="Arial" w:eastAsia="Arial" w:hAnsi="Arial"/>
          <w:color w:val="334155"/>
          <w:sz w:val="21"/>
          <w:szCs w:val="21"/>
        </w:rPr>
        <w:t xml:space="preserve">Microsoft Translator and Google Translate as standard scaffolding in all ESOL sessions</w:t>
      </w:r>
    </w:p>
    <w:p>
      <w:pPr>
        <w:pStyle w:val="ListParagraph"/>
        <w:numPr>
          <w:ilvl w:val="0"/>
          <w:numId w:val="2"/>
        </w:numPr>
        <w:spacing w:before="40" w:after="60"/>
      </w:pPr>
      <w:r>
        <w:rPr>
          <w:rFonts w:ascii="Arial" w:cs="Arial" w:eastAsia="Arial" w:hAnsi="Arial"/>
          <w:color w:val="334155"/>
          <w:sz w:val="21"/>
          <w:szCs w:val="21"/>
        </w:rPr>
        <w:t xml:space="preserve">Immersive Reader with translation enabled in Teams, Word, and OneNote</w:t>
      </w:r>
    </w:p>
    <w:p>
      <w:pPr>
        <w:pStyle w:val="ListParagraph"/>
        <w:numPr>
          <w:ilvl w:val="0"/>
          <w:numId w:val="2"/>
        </w:numPr>
        <w:spacing w:before="40" w:after="60"/>
      </w:pPr>
      <w:r>
        <w:rPr>
          <w:rFonts w:ascii="Arial" w:cs="Arial" w:eastAsia="Arial" w:hAnsi="Arial"/>
          <w:color w:val="334155"/>
          <w:sz w:val="21"/>
          <w:szCs w:val="21"/>
        </w:rPr>
        <w:t xml:space="preserve">Microsoft Reading Coach for reading fluency development, with pre and post measurement as evidence of progress</w:t>
      </w:r>
    </w:p>
    <w:p>
      <w:pPr>
        <w:pStyle w:val="ListParagraph"/>
        <w:numPr>
          <w:ilvl w:val="0"/>
          <w:numId w:val="2"/>
        </w:numPr>
        <w:spacing w:before="40" w:after="60"/>
      </w:pPr>
      <w:r>
        <w:rPr>
          <w:rFonts w:ascii="Arial" w:cs="Arial" w:eastAsia="Arial" w:hAnsi="Arial"/>
          <w:color w:val="334155"/>
          <w:sz w:val="21"/>
          <w:szCs w:val="21"/>
        </w:rPr>
        <w:t xml:space="preserve">Real world digital tasks, NHS App, DWP portal, online banking, job search platforms, as the primary and most motivating learning contexts</w:t>
      </w:r>
    </w:p>
    <w:p>
      <w:pPr>
        <w:pStyle w:val="ListParagraph"/>
        <w:numPr>
          <w:ilvl w:val="0"/>
          <w:numId w:val="2"/>
        </w:numPr>
        <w:spacing w:before="40" w:after="60"/>
      </w:pPr>
      <w:r>
        <w:rPr>
          <w:rFonts w:ascii="Arial" w:cs="Arial" w:eastAsia="Arial" w:hAnsi="Arial"/>
          <w:color w:val="334155"/>
          <w:sz w:val="21"/>
          <w:szCs w:val="21"/>
        </w:rPr>
        <w:t xml:space="preserve">Microsoft Translator deployed for ESOL parent evenings and initial enrolment conversations, with student services and reception staff trained to use it</w:t>
      </w:r>
    </w:p>
    <w:p>
      <w:pPr>
        <w:pStyle w:val="Heading2"/>
        <w:spacing w:before="280" w:after="160"/>
      </w:pPr>
      <w:r>
        <w:rPr>
          <w:rFonts w:ascii="Arial" w:cs="Arial" w:eastAsia="Arial" w:hAnsi="Arial"/>
          <w:b/>
          <w:bCs/>
          <w:color w:val="0D2240"/>
          <w:sz w:val="28"/>
          <w:szCs w:val="28"/>
        </w:rPr>
        <w:t xml:space="preserve">Dyslexia and Specific Learning Difficulties (All Areas)</w:t>
      </w:r>
    </w:p>
    <w:p>
      <w:pPr>
        <w:spacing w:before="60" w:after="160"/>
      </w:pPr>
      <w:r>
        <w:rPr>
          <w:rFonts w:ascii="Arial" w:cs="Arial" w:eastAsia="Arial" w:hAnsi="Arial"/>
          <w:b w:val="false"/>
          <w:bCs w:val="false"/>
          <w:i w:val="false"/>
          <w:iCs w:val="false"/>
          <w:color w:val="334155"/>
          <w:sz w:val="22"/>
          <w:szCs w:val="22"/>
        </w:rPr>
        <w:t xml:space="preserve">The tools that most effectively support learners with dyslexia and SpLD are productivity tools that happen to be especially effective for learners with literacy difficulties. They should be available to everyone. When we present them as specialist tools for learners with a recorded need, we stigmatise their use. When we present them as standard tools that every learner can choose to use, we normalise them, and we increase the number of learners who benefit from them.</w:t>
      </w:r>
    </w:p>
    <w:p>
      <w:pPr>
        <w:spacing w:before="60" w:after="80"/>
      </w:pPr>
      <w:r>
        <w:rPr>
          <w:rFonts w:ascii="Arial" w:cs="Arial" w:eastAsia="Arial" w:hAnsi="Arial"/>
          <w:b/>
          <w:bCs/>
          <w:color w:val="0D2240"/>
          <w:sz w:val="21"/>
          <w:szCs w:val="21"/>
        </w:rPr>
        <w:t xml:space="preserve">Key tools to be available to all:</w:t>
      </w:r>
    </w:p>
    <w:p>
      <w:pPr>
        <w:pStyle w:val="ListParagraph"/>
        <w:numPr>
          <w:ilvl w:val="0"/>
          <w:numId w:val="2"/>
        </w:numPr>
        <w:spacing w:before="40" w:after="60"/>
      </w:pPr>
      <w:r>
        <w:rPr>
          <w:rFonts w:ascii="Arial" w:cs="Arial" w:eastAsia="Arial" w:hAnsi="Arial"/>
          <w:color w:val="334155"/>
          <w:sz w:val="21"/>
          <w:szCs w:val="21"/>
        </w:rPr>
        <w:t xml:space="preserve">Read and Write Gold for text to speech, word prediction, and study skills support</w:t>
      </w:r>
    </w:p>
    <w:p>
      <w:pPr>
        <w:pStyle w:val="ListParagraph"/>
        <w:numPr>
          <w:ilvl w:val="0"/>
          <w:numId w:val="2"/>
        </w:numPr>
        <w:spacing w:before="40" w:after="60"/>
      </w:pPr>
      <w:r>
        <w:rPr>
          <w:rFonts w:ascii="Arial" w:cs="Arial" w:eastAsia="Arial" w:hAnsi="Arial"/>
          <w:color w:val="334155"/>
          <w:sz w:val="21"/>
          <w:szCs w:val="21"/>
        </w:rPr>
        <w:t xml:space="preserve">Immersive Reader, zero cost and high impact, mentioned to every learner at induction in every curriculum area</w:t>
      </w:r>
    </w:p>
    <w:p>
      <w:pPr>
        <w:pStyle w:val="ListParagraph"/>
        <w:numPr>
          <w:ilvl w:val="0"/>
          <w:numId w:val="2"/>
        </w:numPr>
        <w:spacing w:before="40" w:after="60"/>
      </w:pPr>
      <w:r>
        <w:rPr>
          <w:rFonts w:ascii="Arial" w:cs="Arial" w:eastAsia="Arial" w:hAnsi="Arial"/>
          <w:color w:val="334155"/>
          <w:sz w:val="21"/>
          <w:szCs w:val="21"/>
        </w:rPr>
        <w:t xml:space="preserve">OneNote digital inking for spatial, non linear note taking that suits learners who think visually</w:t>
      </w:r>
    </w:p>
    <w:p>
      <w:pPr>
        <w:pStyle w:val="ListParagraph"/>
        <w:numPr>
          <w:ilvl w:val="0"/>
          <w:numId w:val="2"/>
        </w:numPr>
        <w:spacing w:before="40" w:after="60"/>
      </w:pPr>
      <w:r>
        <w:rPr>
          <w:rFonts w:ascii="Arial" w:cs="Arial" w:eastAsia="Arial" w:hAnsi="Arial"/>
          <w:color w:val="334155"/>
          <w:sz w:val="21"/>
          <w:szCs w:val="21"/>
        </w:rPr>
        <w:t xml:space="preserve">Dragon Dictate or Windows Speech Recognition for extended writing tasks where typing is a barrier</w:t>
      </w:r>
    </w:p>
    <w:p>
      <w:pPr>
        <w:pStyle w:val="ListParagraph"/>
        <w:numPr>
          <w:ilvl w:val="0"/>
          <w:numId w:val="2"/>
        </w:numPr>
        <w:spacing w:before="40" w:after="60"/>
      </w:pPr>
      <w:r>
        <w:rPr>
          <w:rFonts w:ascii="Arial" w:cs="Arial" w:eastAsia="Arial" w:hAnsi="Arial"/>
          <w:color w:val="334155"/>
          <w:sz w:val="21"/>
          <w:szCs w:val="21"/>
        </w:rPr>
        <w:t xml:space="preserve">All tools mentioned at induction as available to all learners, not only those with a recorded need on their ILP</w:t>
      </w:r>
    </w:p>
    <w:p>
      <w:r>
        <w:br w:type="page"/>
      </w:r>
    </w:p>
    <w:p>
      <w:pPr>
        <w:pStyle w:val="Heading1"/>
        <w:spacing w:before="360" w:after="200"/>
      </w:pPr>
      <w:r>
        <w:rPr>
          <w:rFonts w:ascii="Arial" w:cs="Arial" w:eastAsia="Arial" w:hAnsi="Arial"/>
          <w:b/>
          <w:bCs/>
          <w:color w:val="0D2240"/>
          <w:sz w:val="36"/>
          <w:szCs w:val="36"/>
        </w:rPr>
        <w:t xml:space="preserve">Digital Inclusion Beyond the Classroom</w:t>
      </w:r>
    </w:p>
    <w:p>
      <w:pPr>
        <w:spacing w:before="60" w:after="160"/>
      </w:pPr>
      <w:r>
        <w:rPr>
          <w:rFonts w:ascii="Arial" w:cs="Arial" w:eastAsia="Arial" w:hAnsi="Arial"/>
          <w:b w:val="false"/>
          <w:bCs w:val="false"/>
          <w:i w:val="false"/>
          <w:iCs w:val="false"/>
          <w:color w:val="334155"/>
          <w:sz w:val="22"/>
          <w:szCs w:val="22"/>
        </w:rPr>
        <w:t xml:space="preserve">Not all digital exclusion is about what happens inside the classroom. For a learner who does not have a reliable device at home, or who cannot afford mobile data, or who lives in an area with poor broadband coverage, the digital skills development we do in college cannot be practised, reinforced, or built on outside of it.</w:t>
      </w:r>
    </w:p>
    <w:p>
      <w:pPr>
        <w:spacing w:before="60" w:after="160"/>
      </w:pPr>
      <w:r>
        <w:rPr>
          <w:rFonts w:ascii="Arial" w:cs="Arial" w:eastAsia="Arial" w:hAnsi="Arial"/>
          <w:b w:val="false"/>
          <w:bCs w:val="false"/>
          <w:i w:val="false"/>
          <w:iCs w:val="false"/>
          <w:color w:val="334155"/>
          <w:sz w:val="22"/>
          <w:szCs w:val="22"/>
        </w:rPr>
        <w:t xml:space="preserve">This section sets out what I am proposing we do about that, using resources that are already available to us.</w:t>
      </w:r>
    </w:p>
    <w:p>
      <w:pPr>
        <w:pStyle w:val="Heading2"/>
        <w:spacing w:before="280" w:after="160"/>
      </w:pPr>
      <w:r>
        <w:rPr>
          <w:rFonts w:ascii="Arial" w:cs="Arial" w:eastAsia="Arial" w:hAnsi="Arial"/>
          <w:b/>
          <w:bCs/>
          <w:color w:val="0D2240"/>
          <w:sz w:val="28"/>
          <w:szCs w:val="28"/>
        </w:rPr>
        <w:t xml:space="preserve">Good Things Foundation and the National Databank</w:t>
      </w:r>
    </w:p>
    <w:p>
      <w:pPr>
        <w:spacing w:before="60" w:after="160"/>
      </w:pPr>
      <w:r>
        <w:rPr>
          <w:rFonts w:ascii="Arial" w:cs="Arial" w:eastAsia="Arial" w:hAnsi="Arial"/>
          <w:b w:val="false"/>
          <w:bCs w:val="false"/>
          <w:i w:val="false"/>
          <w:iCs w:val="false"/>
          <w:color w:val="334155"/>
          <w:sz w:val="22"/>
          <w:szCs w:val="22"/>
        </w:rPr>
        <w:t xml:space="preserve">Good Things Foundation operates the National Databank, which provides free SIM cards and mobile data to people who cannot afford connectivity. Registration as a partner is free and it unlocks immediate practical support for learners experiencing device poverty. Learn My Way, their free online learning platform, is also valuable for ESOL and community education cohorts.</w:t>
      </w:r>
    </w:p>
    <w:p>
      <w:pPr>
        <w:spacing w:before="60" w:after="160"/>
      </w:pPr>
      <w:r>
        <w:rPr>
          <w:rFonts w:ascii="Arial" w:cs="Arial" w:eastAsia="Arial" w:hAnsi="Arial"/>
          <w:b w:val="false"/>
          <w:bCs w:val="false"/>
          <w:i w:val="false"/>
          <w:iCs w:val="false"/>
          <w:color w:val="334155"/>
          <w:sz w:val="22"/>
          <w:szCs w:val="22"/>
        </w:rPr>
        <w:t xml:space="preserve">I am proposing that Weston College registers with the Good Things Foundation National Digital Inclusion Network this term. This is a free action with immediate learner benefit. It positions the college as a community digital inclusion asset, not just an internal skills provider, which has implications for our local reputation and our relationship with the community education cohort.</w:t>
      </w:r>
    </w:p>
    <w:p>
      <w:pPr>
        <w:pStyle w:val="Heading2"/>
        <w:spacing w:before="280" w:after="160"/>
      </w:pPr>
      <w:r>
        <w:rPr>
          <w:rFonts w:ascii="Arial" w:cs="Arial" w:eastAsia="Arial" w:hAnsi="Arial"/>
          <w:b/>
          <w:bCs/>
          <w:color w:val="0D2240"/>
          <w:sz w:val="28"/>
          <w:szCs w:val="28"/>
        </w:rPr>
        <w:t xml:space="preserve">The Jisc Digital Experience Insights Survey</w:t>
      </w:r>
    </w:p>
    <w:p>
      <w:pPr>
        <w:spacing w:before="60" w:after="160"/>
      </w:pPr>
      <w:r>
        <w:rPr>
          <w:rFonts w:ascii="Arial" w:cs="Arial" w:eastAsia="Arial" w:hAnsi="Arial"/>
          <w:b w:val="false"/>
          <w:bCs w:val="false"/>
          <w:i w:val="false"/>
          <w:iCs w:val="false"/>
          <w:color w:val="334155"/>
          <w:sz w:val="22"/>
          <w:szCs w:val="22"/>
        </w:rPr>
        <w:t xml:space="preserve">We cannot address device poverty or connectivity gaps we have not measured. The Jisc Digital Experience Insights Survey, free for Jisc subscribers, provides sector benchmarked data on learner and staff digital experience, including device access and connectivity. I am proposing we deploy it in September 2026 as a standard part of the induction process.</w:t>
      </w:r>
    </w:p>
    <w:p>
      <w:pPr>
        <w:spacing w:before="60" w:after="160"/>
      </w:pPr>
      <w:r>
        <w:rPr>
          <w:rFonts w:ascii="Arial" w:cs="Arial" w:eastAsia="Arial" w:hAnsi="Arial"/>
          <w:b w:val="false"/>
          <w:bCs w:val="false"/>
          <w:i w:val="false"/>
          <w:iCs w:val="false"/>
          <w:color w:val="334155"/>
          <w:sz w:val="22"/>
          <w:szCs w:val="22"/>
        </w:rPr>
        <w:t xml:space="preserve">The data we get back will tell us which learner groups face the sharpest access barriers. It will allow us to make targeted, evidenced decisions about where device loan schemes, data support, or infrastructure investment are most needed. Without it, we are making those decisions on assumption.</w:t>
      </w:r>
    </w:p>
    <w:p>
      <w:pPr>
        <w:pStyle w:val="Heading2"/>
        <w:spacing w:before="280" w:after="160"/>
      </w:pPr>
      <w:r>
        <w:rPr>
          <w:rFonts w:ascii="Arial" w:cs="Arial" w:eastAsia="Arial" w:hAnsi="Arial"/>
          <w:b/>
          <w:bCs/>
          <w:color w:val="0D2240"/>
          <w:sz w:val="28"/>
          <w:szCs w:val="28"/>
        </w:rPr>
        <w:t xml:space="preserve">The Student Digital Inclusion Advisory Group</w:t>
      </w:r>
    </w:p>
    <w:p>
      <w:pPr>
        <w:spacing w:before="60" w:after="160"/>
      </w:pPr>
      <w:r>
        <w:rPr>
          <w:rFonts w:ascii="Arial" w:cs="Arial" w:eastAsia="Arial" w:hAnsi="Arial"/>
          <w:b w:val="false"/>
          <w:bCs w:val="false"/>
          <w:i w:val="false"/>
          <w:iCs w:val="false"/>
          <w:color w:val="334155"/>
          <w:sz w:val="22"/>
          <w:szCs w:val="22"/>
        </w:rPr>
        <w:t xml:space="preserve">I want to establish a Student Digital Inclusion Advisory Group with real influence over the direction of this strategy. Not a consultation exercise. Not a focus group that is heard and then filed. A group of learners, drawn from ESOL, SEND, and community education cohorts in the first instance, who help set priorities, review decisions, and report back to leadership on whether what we are doing is actually making a difference.</w:t>
      </w:r>
    </w:p>
    <w:p>
      <w:pPr>
        <w:spacing w:before="60" w:after="160"/>
      </w:pPr>
      <w:r>
        <w:rPr>
          <w:rFonts w:ascii="Arial" w:cs="Arial" w:eastAsia="Arial" w:hAnsi="Arial"/>
          <w:b w:val="false"/>
          <w:bCs w:val="false"/>
          <w:i w:val="false"/>
          <w:iCs w:val="false"/>
          <w:color w:val="334155"/>
          <w:sz w:val="22"/>
          <w:szCs w:val="22"/>
        </w:rPr>
        <w:t xml:space="preserve">The principle is straightforward: the people who experience digital exclusion most acutely are also the most qualified to identify what would address it. Their knowledge should be in the room when we are making strategic decisions, not collected separately and summarised at a distance.</w:t>
      </w:r>
    </w:p>
    <w:p>
      <w:r>
        <w:br w:type="page"/>
      </w:r>
    </w:p>
    <w:p>
      <w:pPr>
        <w:pStyle w:val="Heading1"/>
        <w:spacing w:before="360" w:after="200"/>
      </w:pPr>
      <w:r>
        <w:rPr>
          <w:rFonts w:ascii="Arial" w:cs="Arial" w:eastAsia="Arial" w:hAnsi="Arial"/>
          <w:b/>
          <w:bCs/>
          <w:color w:val="0D2240"/>
          <w:sz w:val="36"/>
          <w:szCs w:val="36"/>
        </w:rPr>
        <w:t xml:space="preserve">What I Am Asking For</w:t>
      </w:r>
    </w:p>
    <w:p>
      <w:pPr>
        <w:spacing w:before="60" w:after="160"/>
      </w:pPr>
      <w:r>
        <w:rPr>
          <w:rFonts w:ascii="Arial" w:cs="Arial" w:eastAsia="Arial" w:hAnsi="Arial"/>
          <w:b w:val="false"/>
          <w:bCs w:val="false"/>
          <w:i w:val="false"/>
          <w:iCs w:val="false"/>
          <w:color w:val="334155"/>
          <w:sz w:val="22"/>
          <w:szCs w:val="22"/>
        </w:rPr>
        <w:t xml:space="preserve">These are not large asks. Most of them do not require new funding. They require decisions, coordination, and institutional endorsement of the principle that digital inclusion is a whole college responsibility. The coaching strategy can deliver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rPr>
          <w:tblHeader/>
        </w:trPr>
        <w:tc>
          <w:tcPr>
            <w:tcW w:type="dxa" w:w="32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What I am asking for</w:t>
            </w:r>
          </w:p>
        </w:tc>
        <w:tc>
          <w:tcPr>
            <w:tcW w:type="dxa" w:w="3826"/>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2000"/>
            <w:tcBorders>
              <w:top w:val="single" w:color="CBD5E1" w:sz="1"/>
              <w:left w:val="single" w:color="CBD5E1" w:sz="1"/>
              <w:bottom w:val="single" w:color="CBD5E1" w:sz="1"/>
              <w:right w:val="single" w:color="CBD5E1" w:sz="1"/>
            </w:tcBorders>
            <w:shd w:fill="0D2240" w:val="clear"/>
            <w:tcMar>
              <w:top w:type="dxa" w:w="100"/>
              <w:left w:type="dxa" w:w="140"/>
              <w:bottom w:type="dxa" w:w="100"/>
              <w:right w:type="dxa" w:w="140"/>
            </w:tcMar>
          </w:tcPr>
          <w:p>
            <w:r>
              <w:rPr>
                <w:rFonts w:ascii="Arial" w:cs="Arial" w:eastAsia="Arial" w:hAnsi="Arial"/>
                <w:b/>
                <w:bCs/>
                <w:color w:val="FFFFFF"/>
                <w:sz w:val="20"/>
                <w:szCs w:val="20"/>
              </w:rPr>
              <w:t xml:space="preserve">Who needs to act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Enable Live Captions as default in all Teams meetings college wide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One IT configuration decision. Immediate impact on every ESOL, d and Deaf, and hard of hearing learner in every session.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team, this term</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Register with Good Things Foundation National Digital Inclusion Network</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Free. Unlocks the National Databank for learner data and device support. Signals college commitment to community digital inclusion.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Digital Pedagogy Coach, this term</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Confirm Copilot licence status and communicate clearly to all Heads of Area</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Unresolved. Staff and learners cannot use AI tools confidently until institutional policy is confirmed. This blocks multiple other coaching priorities.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and SLT, urgent</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Endorse WCAG 2.2 AA as the minimum standard for all digital resources</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Does not require new tools. Requires policy confirmation, inclusion in QA checklists, and staff training. The Accessibility Checker makes compliance straightforward.</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Quality team and SLT, this term</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Embed assistive technology training as mandatory CPD for all staff working with FIP cohorts</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Not optional CPD. A professional standard. The renewed Ofsted Inclusion grade makes this a compliance matter as well as a moral one.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HR and Faculty of Inclusive Practice, by September 2026</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Approve Jisc Discovery Tool and DEI Survey deployment for September 2026</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The only systematic way to measure where learners actually are digitally and what access barriers they face. Free for Jisc subscribers. Requires institutional sign off.</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SLT, before end of term</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Produce a software licence directory for the Faculty of Inclusive Practice</w:t>
            </w:r>
          </w:p>
        </w:tc>
        <w:tc>
          <w:tcPr>
            <w:tcW w:type="dxa" w:w="38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FIP staff do not know what is available to them. Specialist assistive technology tools may be available but unused. This needs to be produced and shared urgently.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IT team and FIP leadership, by June 2026</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Formally escalate KN Campus device access issues with evidence</w:t>
            </w:r>
          </w:p>
        </w:tc>
        <w:tc>
          <w:tcPr>
            <w:tcW w:type="dxa" w:w="38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Unreliable laptops and limited computer room availability affect Sixth Form and HBH at Knightstone Campus. An infrastructure barrier and a potential Ofsted Inclusion risk.</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SLT and Estates, urgent</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26"/>
      </w:tblGrid>
      <w:tr>
        <w:tc>
          <w:tcPr>
            <w:tcW w:type="dxa" w:w="9026"/>
            <w:tcBorders>
              <w:top w:val="none"/>
              <w:left w:val="thick" w:color="0D2240" w:sz="16"/>
              <w:bottom w:val="none"/>
              <w:right w:val="none"/>
            </w:tcBorders>
            <w:shd w:fill="F1F5F9" w:val="clear"/>
            <w:tcMar>
              <w:top w:type="dxa" w:w="120"/>
              <w:left w:type="dxa" w:w="200"/>
              <w:bottom w:type="dxa" w:w="120"/>
              <w:right w:type="dxa" w:w="200"/>
            </w:tcMar>
          </w:tcPr>
          <w:p>
            <w:pPr>
              <w:spacing w:before="0" w:after="80"/>
            </w:pPr>
            <w:r>
              <w:rPr>
                <w:rFonts w:ascii="Arial" w:cs="Arial" w:eastAsia="Arial" w:hAnsi="Arial"/>
                <w:b/>
                <w:bCs/>
                <w:color w:val="0D2240"/>
                <w:sz w:val="22"/>
                <w:szCs w:val="22"/>
              </w:rPr>
              <w:t xml:space="preserve">The closing point I want to make</w:t>
            </w:r>
          </w:p>
          <w:p>
            <w:pPr>
              <w:spacing w:before="0" w:after="0"/>
            </w:pPr>
            <w:r>
              <w:rPr>
                <w:rFonts w:ascii="Arial" w:cs="Arial" w:eastAsia="Arial" w:hAnsi="Arial"/>
                <w:color w:val="334155"/>
                <w:sz w:val="21"/>
                <w:szCs w:val="21"/>
              </w:rPr>
              <w:t xml:space="preserve">Most of what Learning Without Barriers proposes is already possible. The tools are available, the frameworks are in place, and the expertise exists within this college. What has been missing is a consistent, named commitment to digital inclusion as a whole college priority rather than a concern for specific teams or specific learners. This document is my attempt to name it, frame it, and start the conversation that I hope will lead to that commitment being made.</w:t>
            </w:r>
          </w:p>
        </w:tc>
      </w:tr>
    </w:tbl>
    <w:p>
      <w:r>
        <w:br w:type="page"/>
      </w:r>
    </w:p>
    <w:p>
      <w:pPr>
        <w:pStyle w:val="Heading1"/>
        <w:spacing w:before="360" w:after="200"/>
      </w:pPr>
      <w:r>
        <w:rPr>
          <w:rFonts w:ascii="Arial" w:cs="Arial" w:eastAsia="Arial" w:hAnsi="Arial"/>
          <w:b/>
          <w:bCs/>
          <w:color w:val="0D2240"/>
          <w:sz w:val="36"/>
          <w:szCs w:val="36"/>
        </w:rPr>
        <w:t xml:space="preserve">Sources and Further Reading</w:t>
      </w:r>
    </w:p>
    <w:p>
      <w:pPr>
        <w:pStyle w:val="ListParagraph"/>
        <w:numPr>
          <w:ilvl w:val="0"/>
          <w:numId w:val="3"/>
        </w:numPr>
        <w:spacing w:before="40" w:after="60"/>
      </w:pPr>
      <w:r>
        <w:rPr>
          <w:rFonts w:ascii="Arial" w:cs="Arial" w:eastAsia="Arial" w:hAnsi="Arial"/>
          <w:color w:val="334155"/>
          <w:sz w:val="21"/>
          <w:szCs w:val="21"/>
        </w:rPr>
        <w:t xml:space="preserve">DfE Essential Digital Skills Framework: gov.uk/government/publications/essential-digital-skills-framework</w:t>
      </w:r>
    </w:p>
    <w:p>
      <w:pPr>
        <w:pStyle w:val="ListParagraph"/>
        <w:numPr>
          <w:ilvl w:val="0"/>
          <w:numId w:val="3"/>
        </w:numPr>
        <w:spacing w:before="40" w:after="60"/>
      </w:pPr>
      <w:r>
        <w:rPr>
          <w:rFonts w:ascii="Arial" w:cs="Arial" w:eastAsia="Arial" w:hAnsi="Arial"/>
          <w:color w:val="334155"/>
          <w:sz w:val="21"/>
          <w:szCs w:val="21"/>
        </w:rPr>
        <w:t xml:space="preserve">Ofsted Renewed Education Inspection Framework (November 2025): gov.uk/government/publications/education-inspection-framework</w:t>
      </w:r>
    </w:p>
    <w:p>
      <w:pPr>
        <w:pStyle w:val="ListParagraph"/>
        <w:numPr>
          <w:ilvl w:val="0"/>
          <w:numId w:val="3"/>
        </w:numPr>
        <w:spacing w:before="40" w:after="60"/>
      </w:pPr>
      <w:r>
        <w:rPr>
          <w:rFonts w:ascii="Arial" w:cs="Arial" w:eastAsia="Arial" w:hAnsi="Arial"/>
          <w:color w:val="334155"/>
          <w:sz w:val="21"/>
          <w:szCs w:val="21"/>
        </w:rPr>
        <w:t xml:space="preserve">Post 16 Education and Skills White Paper (November 2025): gov.uk/government/publications/post-16-education-and-skills-white-paper</w:t>
      </w:r>
    </w:p>
    <w:p>
      <w:pPr>
        <w:pStyle w:val="ListParagraph"/>
        <w:numPr>
          <w:ilvl w:val="0"/>
          <w:numId w:val="3"/>
        </w:numPr>
        <w:spacing w:before="40" w:after="60"/>
      </w:pPr>
      <w:r>
        <w:rPr>
          <w:rFonts w:ascii="Arial" w:cs="Arial" w:eastAsia="Arial" w:hAnsi="Arial"/>
          <w:color w:val="334155"/>
          <w:sz w:val="21"/>
          <w:szCs w:val="21"/>
        </w:rPr>
        <w:t xml:space="preserve">Skills England Priorities 2025 to 2026: gov.uk/government/publications/skills-england-priorities-for-2025-to-2026</w:t>
      </w:r>
    </w:p>
    <w:p>
      <w:pPr>
        <w:pStyle w:val="ListParagraph"/>
        <w:numPr>
          <w:ilvl w:val="0"/>
          <w:numId w:val="3"/>
        </w:numPr>
        <w:spacing w:before="40" w:after="60"/>
      </w:pPr>
      <w:r>
        <w:rPr>
          <w:rFonts w:ascii="Arial" w:cs="Arial" w:eastAsia="Arial" w:hAnsi="Arial"/>
          <w:color w:val="334155"/>
          <w:sz w:val="21"/>
          <w:szCs w:val="21"/>
        </w:rPr>
        <w:t xml:space="preserve">WEF Future of Jobs Report 2025: weforum.org/publications/the-future-of-jobs-report-2025</w:t>
      </w:r>
    </w:p>
    <w:p>
      <w:pPr>
        <w:pStyle w:val="ListParagraph"/>
        <w:numPr>
          <w:ilvl w:val="0"/>
          <w:numId w:val="3"/>
        </w:numPr>
        <w:spacing w:before="40" w:after="60"/>
      </w:pPr>
      <w:r>
        <w:rPr>
          <w:rFonts w:ascii="Arial" w:cs="Arial" w:eastAsia="Arial" w:hAnsi="Arial"/>
          <w:color w:val="334155"/>
          <w:sz w:val="21"/>
          <w:szCs w:val="21"/>
        </w:rPr>
        <w:t xml:space="preserve">FutureDotNow AI Updated EDS Framework (October 2025): futuredotnow.uk/embedding-ai-into-theessential-digital-skills-framework</w:t>
      </w:r>
    </w:p>
    <w:p>
      <w:pPr>
        <w:pStyle w:val="ListParagraph"/>
        <w:numPr>
          <w:ilvl w:val="0"/>
          <w:numId w:val="3"/>
        </w:numPr>
        <w:spacing w:before="40" w:after="60"/>
      </w:pPr>
      <w:r>
        <w:rPr>
          <w:rFonts w:ascii="Arial" w:cs="Arial" w:eastAsia="Arial" w:hAnsi="Arial"/>
          <w:color w:val="334155"/>
          <w:sz w:val="21"/>
          <w:szCs w:val="21"/>
        </w:rPr>
        <w:t xml:space="preserve">WCAG 2.2 Quick Reference: w3.org/WAI/WCAG22/quickref</w:t>
      </w:r>
    </w:p>
    <w:p>
      <w:pPr>
        <w:pStyle w:val="ListParagraph"/>
        <w:numPr>
          <w:ilvl w:val="0"/>
          <w:numId w:val="3"/>
        </w:numPr>
        <w:spacing w:before="40" w:after="60"/>
      </w:pPr>
      <w:r>
        <w:rPr>
          <w:rFonts w:ascii="Arial" w:cs="Arial" w:eastAsia="Arial" w:hAnsi="Arial"/>
          <w:color w:val="334155"/>
          <w:sz w:val="21"/>
          <w:szCs w:val="21"/>
        </w:rPr>
        <w:t xml:space="preserve">UDL Guidelines: udlguidelines.cast.org</w:t>
      </w:r>
    </w:p>
    <w:p>
      <w:pPr>
        <w:pStyle w:val="ListParagraph"/>
        <w:numPr>
          <w:ilvl w:val="0"/>
          <w:numId w:val="3"/>
        </w:numPr>
        <w:spacing w:before="40" w:after="60"/>
      </w:pPr>
      <w:r>
        <w:rPr>
          <w:rFonts w:ascii="Arial" w:cs="Arial" w:eastAsia="Arial" w:hAnsi="Arial"/>
          <w:color w:val="334155"/>
          <w:sz w:val="21"/>
          <w:szCs w:val="21"/>
        </w:rPr>
        <w:t xml:space="preserve">Jisc Building Digital Capability and Discovery Tool: digitalcapability.jisc.ac.uk</w:t>
      </w:r>
    </w:p>
    <w:p>
      <w:pPr>
        <w:pStyle w:val="ListParagraph"/>
        <w:numPr>
          <w:ilvl w:val="0"/>
          <w:numId w:val="3"/>
        </w:numPr>
        <w:spacing w:before="40" w:after="60"/>
      </w:pPr>
      <w:r>
        <w:rPr>
          <w:rFonts w:ascii="Arial" w:cs="Arial" w:eastAsia="Arial" w:hAnsi="Arial"/>
          <w:color w:val="334155"/>
          <w:sz w:val="21"/>
          <w:szCs w:val="21"/>
        </w:rPr>
        <w:t xml:space="preserve">Jisc Digital Experience Insights Survey: jisc.ac.uk/digital-experience-insights</w:t>
      </w:r>
    </w:p>
    <w:p>
      <w:pPr>
        <w:pStyle w:val="ListParagraph"/>
        <w:numPr>
          <w:ilvl w:val="0"/>
          <w:numId w:val="3"/>
        </w:numPr>
        <w:spacing w:before="40" w:after="60"/>
      </w:pPr>
      <w:r>
        <w:rPr>
          <w:rFonts w:ascii="Arial" w:cs="Arial" w:eastAsia="Arial" w:hAnsi="Arial"/>
          <w:color w:val="334155"/>
          <w:sz w:val="21"/>
          <w:szCs w:val="21"/>
        </w:rPr>
        <w:t xml:space="preserve">Jisc AI in Tertiary Education 2025: jisc.ac.uk/ai-in-tertiary-education</w:t>
      </w:r>
    </w:p>
    <w:p>
      <w:pPr>
        <w:pStyle w:val="ListParagraph"/>
        <w:numPr>
          <w:ilvl w:val="0"/>
          <w:numId w:val="3"/>
        </w:numPr>
        <w:spacing w:before="40" w:after="60"/>
      </w:pPr>
      <w:r>
        <w:rPr>
          <w:rFonts w:ascii="Arial" w:cs="Arial" w:eastAsia="Arial" w:hAnsi="Arial"/>
          <w:color w:val="334155"/>
          <w:sz w:val="21"/>
          <w:szCs w:val="21"/>
        </w:rPr>
        <w:t xml:space="preserve">Jisc FE Accessibility Training Matrix Phase 2: accessibility.jiscinvolve.org</w:t>
      </w:r>
    </w:p>
    <w:p>
      <w:pPr>
        <w:pStyle w:val="ListParagraph"/>
        <w:numPr>
          <w:ilvl w:val="0"/>
          <w:numId w:val="3"/>
        </w:numPr>
        <w:spacing w:before="40" w:after="60"/>
      </w:pPr>
      <w:r>
        <w:rPr>
          <w:rFonts w:ascii="Arial" w:cs="Arial" w:eastAsia="Arial" w:hAnsi="Arial"/>
          <w:color w:val="334155"/>
          <w:sz w:val="21"/>
          <w:szCs w:val="21"/>
        </w:rPr>
        <w:t xml:space="preserve">Ipsos and Lloyds Bank Essential Digital Skills for Work 2024: ipsos.com/en-uk/essential-digital-skills-work-2024</w:t>
      </w:r>
    </w:p>
    <w:p>
      <w:pPr>
        <w:pStyle w:val="ListParagraph"/>
        <w:numPr>
          <w:ilvl w:val="0"/>
          <w:numId w:val="3"/>
        </w:numPr>
        <w:spacing w:before="40" w:after="60"/>
      </w:pPr>
      <w:r>
        <w:rPr>
          <w:rFonts w:ascii="Arial" w:cs="Arial" w:eastAsia="Arial" w:hAnsi="Arial"/>
          <w:color w:val="334155"/>
          <w:sz w:val="21"/>
          <w:szCs w:val="21"/>
        </w:rPr>
        <w:t xml:space="preserve">ETF Digital Teaching Professional Framework: set.et-foundation.co.uk</w:t>
      </w:r>
    </w:p>
    <w:p>
      <w:pPr>
        <w:pStyle w:val="ListParagraph"/>
        <w:numPr>
          <w:ilvl w:val="0"/>
          <w:numId w:val="3"/>
        </w:numPr>
        <w:spacing w:before="40" w:after="60"/>
      </w:pPr>
      <w:r>
        <w:rPr>
          <w:rFonts w:ascii="Arial" w:cs="Arial" w:eastAsia="Arial" w:hAnsi="Arial"/>
          <w:color w:val="334155"/>
          <w:sz w:val="21"/>
          <w:szCs w:val="21"/>
        </w:rPr>
        <w:t xml:space="preserve">ETF Enhance CPD Platform, free for FE staff: enhance.etfoundation.co.uk</w:t>
      </w:r>
    </w:p>
    <w:p>
      <w:pPr>
        <w:pStyle w:val="ListParagraph"/>
        <w:numPr>
          <w:ilvl w:val="0"/>
          <w:numId w:val="3"/>
        </w:numPr>
        <w:spacing w:before="40" w:after="60"/>
      </w:pPr>
      <w:r>
        <w:rPr>
          <w:rFonts w:ascii="Arial" w:cs="Arial" w:eastAsia="Arial" w:hAnsi="Arial"/>
          <w:color w:val="334155"/>
          <w:sz w:val="21"/>
          <w:szCs w:val="21"/>
        </w:rPr>
        <w:t xml:space="preserve">Good Things Foundation: goodthingsfoundation.org</w:t>
      </w:r>
    </w:p>
    <w:p>
      <w:pPr>
        <w:pStyle w:val="ListParagraph"/>
        <w:numPr>
          <w:ilvl w:val="0"/>
          <w:numId w:val="3"/>
        </w:numPr>
        <w:spacing w:before="40" w:after="60"/>
      </w:pPr>
      <w:r>
        <w:rPr>
          <w:rFonts w:ascii="Arial" w:cs="Arial" w:eastAsia="Arial" w:hAnsi="Arial"/>
          <w:color w:val="334155"/>
          <w:sz w:val="21"/>
          <w:szCs w:val="21"/>
        </w:rPr>
        <w:t xml:space="preserve">West of England and North Somerset LSIP: businesswest.co.uk/grow/LSIP/lsip-west-england</w:t>
      </w:r>
    </w:p>
    <w:p>
      <w:pPr>
        <w:pStyle w:val="ListParagraph"/>
        <w:numPr>
          <w:ilvl w:val="0"/>
          <w:numId w:val="3"/>
        </w:numPr>
        <w:spacing w:before="40" w:after="60"/>
      </w:pPr>
      <w:r>
        <w:rPr>
          <w:rFonts w:ascii="Arial" w:cs="Arial" w:eastAsia="Arial" w:hAnsi="Arial"/>
          <w:color w:val="334155"/>
          <w:sz w:val="21"/>
          <w:szCs w:val="21"/>
        </w:rPr>
        <w:t xml:space="preserve">North Somerset Economic Growth Plan 2025 to 2035: innorthsomerset.co.uk</w:t>
      </w:r>
    </w:p>
    <w:p>
      <w:pPr>
        <w:pStyle w:val="ListParagraph"/>
        <w:numPr>
          <w:ilvl w:val="0"/>
          <w:numId w:val="3"/>
        </w:numPr>
        <w:spacing w:before="40" w:after="60"/>
      </w:pPr>
      <w:r>
        <w:rPr>
          <w:rFonts w:ascii="Arial" w:cs="Arial" w:eastAsia="Arial" w:hAnsi="Arial"/>
          <w:color w:val="334155"/>
          <w:sz w:val="21"/>
          <w:szCs w:val="21"/>
        </w:rPr>
        <w:t xml:space="preserve">Microsoft Support: Improve Accessibility with the Accessibility Checker: support.microsoft.com</w:t>
      </w:r>
    </w:p>
    <w:p>
      <w:pPr>
        <w:pStyle w:val="ListParagraph"/>
        <w:numPr>
          <w:ilvl w:val="0"/>
          <w:numId w:val="3"/>
        </w:numPr>
        <w:spacing w:before="40" w:after="60"/>
      </w:pPr>
      <w:r>
        <w:rPr>
          <w:rFonts w:ascii="Arial" w:cs="Arial" w:eastAsia="Arial" w:hAnsi="Arial"/>
          <w:color w:val="334155"/>
          <w:sz w:val="21"/>
          <w:szCs w:val="21"/>
        </w:rPr>
        <w:t xml:space="preserve">Microsoft Reading Coach: microsoft.com/en-gb/education/products/reading-coach</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F46" w:sz="4" w:space="4"/>
      </w:pBdr>
      <w:spacing w:before="200"/>
    </w:pPr>
    <w:r>
      <w:rPr>
        <w:rFonts w:ascii="Arial" w:cs="Arial" w:eastAsia="Arial" w:hAnsi="Arial"/>
        <w:color w:val="64748B"/>
        <w:sz w:val="18"/>
        <w:szCs w:val="18"/>
      </w:rPr>
      <w:t xml:space="preserve">Weston College Group  |  Learning Without Barriers  |  Graeme Wright, Digital Pedagogy Coach  |  Consultation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65F46" w:sz="4" w:space="4"/>
      </w:pBdr>
      <w:spacing w:before="360" w:after="200"/>
      <w:outlineLvl w:val="0"/>
    </w:pPr>
    <w:rPr>
      <w:rFonts w:ascii="Arial" w:cs="Arial" w:eastAsia="Arial" w:hAnsi="Arial"/>
      <w:b/>
      <w:bCs/>
      <w:color w:val="0D224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224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65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2026-03-26T06:44:17.414Z</dcterms:created>
  <dcterms:modified xsi:type="dcterms:W3CDTF">2026-03-26T06:44:17.415Z</dcterms:modified>
</cp:coreProperties>
</file>

<file path=docProps/custom.xml><?xml version="1.0" encoding="utf-8"?>
<Properties xmlns="http://schemas.openxmlformats.org/officeDocument/2006/custom-properties" xmlns:vt="http://schemas.openxmlformats.org/officeDocument/2006/docPropsVTypes"/>
</file>