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Performance Review — Full Pilot Evidence</w:t>
      </w:r>
    </w:p>
    <w:p>
      <w:pPr>
        <w:spacing w:after="200"/>
      </w:pPr>
      <w:r>
        <w:rPr>
          <w:i/>
          <w:iCs/>
        </w:rPr>
        <w:t xml:space="preserve">Period: 1 Jan 2026 – 30 Jun 2026 · Prepared: 8 Jul 2026</w:t>
      </w:r>
    </w:p>
    <w:p>
      <w:pPr>
        <w:pStyle w:val="Heading1"/>
        <w:spacing w:after="120" w:before="300"/>
      </w:pPr>
      <w:r>
        <w:t xml:space="preserve">Narrative Summary</w:t>
      </w:r>
    </w:p>
    <w:p>
      <w:pPr>
        <w:spacing w:after="120"/>
      </w:pPr>
      <w:r>
        <w:rPr>
          <w:i w:val="false"/>
          <w:iCs w:val="false"/>
        </w:rPr>
        <w:t xml:space="preserve">This pilot period saw engagement across two curriculum areas.</w:t>
      </w:r>
    </w:p>
    <w:p>
      <w:pPr>
        <w:spacing w:after="120"/>
      </w:pPr>
      <w:r>
        <w:rPr>
          <w:i w:val="false"/>
          <w:iCs w:val="false"/>
        </w:rPr>
        <w:t xml:space="preserve">One AFI was closed, evidencing measurable progress in digital accessibility practice.</w:t>
      </w:r>
    </w:p>
    <w:p>
      <w:pPr>
        <w:spacing w:after="120"/>
      </w:pPr>
      <w:r>
        <w:rPr>
          <w:i w:val="false"/>
          <w:iCs w:val="false"/>
        </w:rPr>
        <w:t xml:space="preserve">Further work is needed in Construction, where capability remains an area for immediate improvement.</w:t>
      </w:r>
    </w:p>
    <w:p>
      <w:pPr>
        <w:pStyle w:val="Heading1"/>
        <w:spacing w:after="120" w:before="300"/>
      </w:pPr>
      <w:r>
        <w:t xml:space="preserve">AFI Closure Rate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200"/>
      </w:tblGrid>
      <w:tr>
        <w:tc>
          <w:tcPr>
            <w:tcW w:type="dxa" w:w="3600"/>
            <w:shd w:fill="1D3557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200"/>
            <w:shd w:fill="1D3557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2200"/>
            <w:shd w:fill="1D3557" w:val="clear"/>
          </w:tcPr>
          <w:p>
            <w:r>
              <w:rPr>
                <w:b/>
                <w:bCs/>
                <w:color w:val="FFFFFF"/>
              </w:rPr>
              <w:t xml:space="preserve">—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Total AFIs/loops logged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2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Closed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t xml:space="preserve">Closure rate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50%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Staff Reflections</w:t>
      </w:r>
    </w:p>
    <w:p>
      <w:pPr>
        <w:spacing/>
      </w:pPr>
      <w:r>
        <w:rPr>
          <w:i w:val="false"/>
          <w:iCs w:val="false"/>
        </w:rPr>
        <w:t xml:space="preserve">1 reflection(s) received in this period.</w:t>
      </w:r>
    </w:p>
    <w:p>
      <w:pPr>
        <w:pStyle w:val="Heading1"/>
        <w:spacing w:after="120" w:before="300"/>
      </w:pPr>
      <w:r>
        <w:t xml:space="preserve">Pyramid Level Activity Breakdown</w:t>
      </w:r>
    </w:p>
    <w:p>
      <w:pPr>
        <w:spacing/>
      </w:pPr>
      <w:r>
        <w:rPr>
          <w:i/>
          <w:iCs/>
        </w:rPr>
        <w:t xml:space="preserve">Note: area-level pyramid tagging used as a proxy pending activity-level pyramid tagging (not yet built).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200"/>
      </w:tblGrid>
      <w:tr>
        <w:tc>
          <w:tcPr>
            <w:tcW w:type="dxa" w:w="4400"/>
            <w:shd w:fill="1D3557" w:val="clear"/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3200"/>
            <w:shd w:fill="1D3557" w:val="clear"/>
          </w:tcPr>
          <w:p>
            <w:r>
              <w:rPr>
                <w:b/>
                <w:bCs/>
                <w:color w:val="FFFFFF"/>
              </w:rPr>
              <w:t xml:space="preserve">Areas</w:t>
            </w:r>
          </w:p>
        </w:tc>
      </w:tr>
      <w:tr>
        <w:tc>
          <w:tcPr>
            <w:tcW w:type="dxa" w:w="4400"/>
            <w:shd w:fill="FFFFFF" w:val="clear"/>
          </w:tcPr>
          <w:p>
            <w:r>
              <w:t xml:space="preserve">Foundations</w:t>
            </w:r>
          </w:p>
        </w:tc>
        <w:tc>
          <w:tcPr>
            <w:tcW w:type="dxa" w:w="3200"/>
            <w:shd w:fill="FFFFFF" w:val="clear"/>
          </w:tcPr>
          <w:p>
            <w:r>
              <w:t xml:space="preserve">1</w:t>
            </w:r>
          </w:p>
        </w:tc>
      </w:tr>
      <w:tr>
        <w:tc>
          <w:tcPr>
            <w:tcW w:type="dxa" w:w="4400"/>
            <w:shd w:fill="FFFFFF" w:val="clear"/>
          </w:tcPr>
          <w:p>
            <w:r>
              <w:t xml:space="preserve">Inclusion</w:t>
            </w:r>
          </w:p>
        </w:tc>
        <w:tc>
          <w:tcPr>
            <w:tcW w:type="dxa" w:w="3200"/>
            <w:shd w:fill="FFFFFF" w:val="clear"/>
          </w:tcPr>
          <w:p>
            <w:r>
              <w:t xml:space="preserve">1</w:t>
            </w:r>
          </w:p>
        </w:tc>
      </w:tr>
      <w:tr>
        <w:tc>
          <w:tcPr>
            <w:tcW w:type="dxa" w:w="4400"/>
            <w:shd w:fill="FFFFFF" w:val="clear"/>
          </w:tcPr>
          <w:p>
            <w:r>
              <w:t xml:space="preserve">Innovation</w:t>
            </w:r>
          </w:p>
        </w:tc>
        <w:tc>
          <w:tcPr>
            <w:tcW w:type="dxa" w:w="3200"/>
            <w:shd w:fill="FFFFFF" w:val="clear"/>
          </w:tcPr>
          <w:p>
            <w:r>
              <w:t xml:space="preserve">0</w:t>
            </w:r>
          </w:p>
        </w:tc>
      </w:tr>
    </w:tbl>
    <w:p>
      <w:pPr>
        <w:pStyle w:val="Heading1"/>
        <w:spacing w:after="120" w:before="300"/>
      </w:pPr>
      <w:r>
        <w:t xml:space="preserve">RAG Snapshot History</w:t>
      </w:r>
    </w:p>
    <w:p>
      <w:pPr>
        <w:spacing/>
      </w:pPr>
      <w:r>
        <w:rPr>
          <w:i w:val="false"/>
          <w:iCs w:val="false"/>
        </w:rPr>
        <w:t xml:space="preserve">4 snapshot data point(s) recorded across all areas and dimensions in this period.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2026-07-08T13:38:06.595Z</dcterms:created>
  <dcterms:modified xsi:type="dcterms:W3CDTF">2026-07-08T13:38:06.595Z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