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jc w:val="center"/>
      </w:pPr>
      <w:r>
        <w:rPr>
          <w:rFonts w:ascii="Times New Roman" w:hAnsi="Times New Roman" w:eastAsia="黑体"/>
          <w:b/>
          <w:sz w:val="44"/>
        </w:rPr>
        <w:t>受害人特殊体质能否减轻侵权人责任</w:t>
      </w:r>
    </w:p>
    <w:p>
      <w:pPr>
        <w:spacing w:before="0" w:after="80" w:line="312" w:lineRule="auto"/>
        <w:jc w:val="center"/>
      </w:pPr>
      <w:r>
        <w:rPr>
          <w:rFonts w:ascii="Times New Roman" w:hAnsi="Times New Roman" w:eastAsia="楷体"/>
          <w:b w:val="0"/>
          <w:sz w:val="28"/>
        </w:rPr>
        <w:t>——以原则与例外为线索的案例整理（PPT素材）</w:t>
      </w:r>
    </w:p>
    <w:p>
      <w:pPr>
        <w:spacing w:before="0" w:after="360" w:line="288" w:lineRule="auto"/>
        <w:jc w:val="center"/>
      </w:pPr>
      <w:r>
        <w:rPr>
          <w:rFonts w:ascii="Times New Roman" w:hAnsi="Times New Roman" w:eastAsia="仿宋"/>
          <w:b w:val="0"/>
          <w:sz w:val="22"/>
        </w:rPr>
        <w:t>侵权法专题｜小组分工：理论引入＋原则案例（兼附例外案例，便于组内衔接）</w:t>
      </w:r>
    </w:p>
    <w:p>
      <w:pPr>
        <w:spacing w:before="280" w:after="160" w:line="360" w:lineRule="auto"/>
        <w:ind w:firstLine="0"/>
        <w:jc w:val="left"/>
      </w:pPr>
      <w:r>
        <w:rPr>
          <w:rFonts w:ascii="Times New Roman" w:hAnsi="Times New Roman" w:eastAsia="黑体"/>
          <w:b/>
          <w:sz w:val="32"/>
        </w:rPr>
        <w:t>一、问题提出与理论引入（PPT可压缩为1页）</w:t>
      </w:r>
    </w:p>
    <w:p>
      <w:pPr>
        <w:spacing w:before="0" w:after="120" w:line="360" w:lineRule="auto"/>
        <w:ind w:firstLine="420"/>
        <w:jc w:val="both"/>
      </w:pPr>
      <w:r>
        <w:rPr>
          <w:rFonts w:ascii="Times New Roman" w:hAnsi="Times New Roman" w:eastAsia="宋体"/>
          <w:b w:val="0"/>
          <w:sz w:val="24"/>
        </w:rPr>
        <w:t>人身损害赔偿纠纷中，受害人常因年老骨质疏松、基础疾病、过敏体质等“特殊体质”，在遭受同等外力时出现远超常人的损害后果。侵权人或保险公司遂以“损伤参与度”“原因力”“受害人自身疾病”为由，主张扣减残疾赔偿金、死亡赔偿金等。问题由此产生：受害人特殊体质，能否减轻侵权人责任？</w:t>
      </w:r>
    </w:p>
    <w:p>
      <w:pPr>
        <w:spacing w:before="200" w:after="160" w:line="360" w:lineRule="auto"/>
        <w:ind w:firstLine="0"/>
        <w:jc w:val="left"/>
      </w:pPr>
      <w:r>
        <w:rPr>
          <w:rFonts w:ascii="Times New Roman" w:hAnsi="Times New Roman" w:eastAsia="黑体"/>
          <w:b/>
          <w:sz w:val="28"/>
        </w:rPr>
        <w:t>（一）比较法上的“蛋壳脑袋规则”</w:t>
      </w:r>
    </w:p>
    <w:p>
      <w:pPr>
        <w:spacing w:before="0" w:after="120" w:line="360" w:lineRule="auto"/>
        <w:ind w:firstLine="420"/>
        <w:jc w:val="both"/>
      </w:pPr>
      <w:r>
        <w:rPr>
          <w:rFonts w:ascii="Times New Roman" w:hAnsi="Times New Roman" w:eastAsia="宋体"/>
          <w:b w:val="0"/>
          <w:sz w:val="24"/>
        </w:rPr>
        <w:t>英美侵权法上的“蛋壳脑袋规则”（Eggshell Skull Rule）指出：侵权人必须“接受他所遇见的受害人”（take the victim as you find him）。即便受害人颅骨薄如蛋壳，对普通人仅造成轻微伤害的打击却对其造成致命后果，侵权人亦不得以“若受害人体质正常则损害更轻”作为抗辩。其制度功能在于：保护弱势受害人、警示行为人任何侵害均可能引发最严重后果，并避免法律因人的禀赋差异而异其保护力度。</w:t>
      </w:r>
    </w:p>
    <w:p>
      <w:pPr>
        <w:spacing w:before="200" w:after="160" w:line="360" w:lineRule="auto"/>
        <w:ind w:firstLine="0"/>
        <w:jc w:val="left"/>
      </w:pPr>
      <w:r>
        <w:rPr>
          <w:rFonts w:ascii="Times New Roman" w:hAnsi="Times New Roman" w:eastAsia="黑体"/>
          <w:b/>
          <w:sz w:val="28"/>
        </w:rPr>
        <w:t>（二）我国法上的规范基础</w:t>
      </w:r>
    </w:p>
    <w:p>
      <w:pPr>
        <w:spacing w:before="0" w:after="120" w:line="360" w:lineRule="auto"/>
        <w:ind w:firstLine="420"/>
        <w:jc w:val="both"/>
      </w:pPr>
      <w:r>
        <w:rPr>
          <w:rFonts w:ascii="Times New Roman" w:hAnsi="Times New Roman" w:eastAsia="宋体"/>
          <w:b w:val="0"/>
          <w:sz w:val="24"/>
        </w:rPr>
        <w:t>我国制定法虽未直接写入“蛋壳脑袋规则”，但相关规范足以支撑相同结论：</w:t>
      </w:r>
    </w:p>
    <w:p>
      <w:pPr>
        <w:spacing w:after="80" w:line="360" w:lineRule="auto"/>
        <w:ind w:left="420" w:firstLine="0"/>
        <w:jc w:val="both"/>
      </w:pPr>
      <w:r>
        <w:rPr>
          <w:rFonts w:ascii="Times New Roman" w:hAnsi="Times New Roman" w:eastAsia="宋体"/>
          <w:b w:val="0"/>
          <w:sz w:val="24"/>
        </w:rPr>
        <w:t>• 《民法典》第1165条第1款：过错侵权的一般条款；</w:t>
      </w:r>
    </w:p>
    <w:p>
      <w:pPr>
        <w:spacing w:after="80" w:line="360" w:lineRule="auto"/>
        <w:ind w:left="420" w:firstLine="0"/>
        <w:jc w:val="both"/>
      </w:pPr>
      <w:r>
        <w:rPr>
          <w:rFonts w:ascii="Times New Roman" w:hAnsi="Times New Roman" w:eastAsia="宋体"/>
          <w:b w:val="0"/>
          <w:sz w:val="24"/>
        </w:rPr>
        <w:t>• 《民法典》第1173条（原《侵权责任法》第26条）：被侵权人对同一损害的发生或者扩大有过错的，可以减轻侵权人的责任——此即过失相抵；</w:t>
      </w:r>
    </w:p>
    <w:p>
      <w:pPr>
        <w:spacing w:after="80" w:line="360" w:lineRule="auto"/>
        <w:ind w:left="420" w:firstLine="0"/>
        <w:jc w:val="both"/>
      </w:pPr>
      <w:r>
        <w:rPr>
          <w:rFonts w:ascii="Times New Roman" w:hAnsi="Times New Roman" w:eastAsia="宋体"/>
          <w:b w:val="0"/>
          <w:sz w:val="24"/>
        </w:rPr>
        <w:t>• 《道路交通安全法》第76条第1款第2项：机动车与行人事故中，行人无过错的，由机动车一方承担责任；行人有过错的，依过错程度适当减轻。</w:t>
      </w:r>
    </w:p>
    <w:p>
      <w:pPr>
        <w:spacing w:before="0" w:after="120" w:line="360" w:lineRule="auto"/>
        <w:ind w:firstLine="420"/>
        <w:jc w:val="both"/>
      </w:pPr>
      <w:r>
        <w:rPr>
          <w:rFonts w:ascii="Times New Roman" w:hAnsi="Times New Roman" w:eastAsia="宋体"/>
          <w:b w:val="0"/>
          <w:sz w:val="24"/>
        </w:rPr>
        <w:t>关键区分在于：特殊体质是客观身体状况，不是法律上的“过错”。因此，原则上不得借“体质参与度”减责；仅在受害人另有过错，或存在假设因果关系等例外时，责任范围才可能受影响。</w:t>
      </w:r>
    </w:p>
    <w:p>
      <w:pPr>
        <w:spacing w:before="200" w:after="160" w:line="360" w:lineRule="auto"/>
        <w:ind w:firstLine="0"/>
        <w:jc w:val="left"/>
      </w:pPr>
      <w:r>
        <w:rPr>
          <w:rFonts w:ascii="Times New Roman" w:hAnsi="Times New Roman" w:eastAsia="黑体"/>
          <w:b/>
          <w:sz w:val="28"/>
        </w:rPr>
        <w:t>（三）分析框架（供全组统一口径）</w:t>
      </w:r>
    </w:p>
    <w:p>
      <w:pPr>
        <w:spacing w:before="0" w:after="120" w:line="360" w:lineRule="auto"/>
        <w:ind w:firstLine="420"/>
        <w:jc w:val="both"/>
      </w:pPr>
      <w:r>
        <w:rPr>
          <w:rFonts w:ascii="Times New Roman" w:hAnsi="Times New Roman" w:eastAsia="宋体"/>
          <w:b w:val="0"/>
          <w:sz w:val="24"/>
        </w:rPr>
        <w:t>清华大学程啸教授在评析指导案例24号时提出，应先考察因果关系类型，再判断特殊体质能否评价为受害人过错。特殊体质与加害行为结合，大致可分为三类：</w:t>
      </w:r>
    </w:p>
    <w:p>
      <w:pPr>
        <w:spacing w:after="80" w:line="360" w:lineRule="auto"/>
        <w:ind w:left="420" w:firstLine="0"/>
        <w:jc w:val="both"/>
      </w:pPr>
      <w:r>
        <w:rPr>
          <w:rFonts w:ascii="Times New Roman" w:hAnsi="Times New Roman" w:eastAsia="宋体"/>
          <w:b w:val="0"/>
          <w:sz w:val="24"/>
        </w:rPr>
        <w:t>• 共同因果关系（结合致损）：无特殊体质则通常不发生某一严重权益侵害（如过敏体质被蜂蜇致死）；</w:t>
      </w:r>
    </w:p>
    <w:p>
      <w:pPr>
        <w:spacing w:after="80" w:line="360" w:lineRule="auto"/>
        <w:ind w:left="420" w:firstLine="0"/>
        <w:jc w:val="both"/>
      </w:pPr>
      <w:r>
        <w:rPr>
          <w:rFonts w:ascii="Times New Roman" w:hAnsi="Times New Roman" w:eastAsia="宋体"/>
          <w:b w:val="0"/>
          <w:sz w:val="24"/>
        </w:rPr>
        <w:t>• 共同因果关系（结合扩大）：加害行为单独亦足以致伤，特殊体质使后果更重（如骨质疏松致伤残加重）——指导案例24号属此类型；</w:t>
      </w:r>
    </w:p>
    <w:p>
      <w:pPr>
        <w:spacing w:after="80" w:line="360" w:lineRule="auto"/>
        <w:ind w:left="420" w:firstLine="0"/>
        <w:jc w:val="both"/>
      </w:pPr>
      <w:r>
        <w:rPr>
          <w:rFonts w:ascii="Times New Roman" w:hAnsi="Times New Roman" w:eastAsia="宋体"/>
          <w:b w:val="0"/>
          <w:sz w:val="24"/>
        </w:rPr>
        <w:t>• 假设因果关系：加害行为发生前，特殊体质已几乎不可避免地导致残疾或死亡，加害行为只是提前实现该结果（如绝症患者被事故提前致死）。</w:t>
      </w:r>
    </w:p>
    <w:p>
      <w:pPr>
        <w:spacing w:before="0" w:after="120" w:line="360" w:lineRule="auto"/>
        <w:ind w:firstLine="420"/>
        <w:jc w:val="both"/>
      </w:pPr>
      <w:r>
        <w:rPr>
          <w:rFonts w:ascii="Times New Roman" w:hAnsi="Times New Roman" w:eastAsia="宋体"/>
          <w:b w:val="0"/>
          <w:sz w:val="24"/>
        </w:rPr>
        <w:t>前两类情形下，原则上不得因特殊体质减责；第三类及受害人另有过错时，才构成真正意义上的“例外”。</w:t>
      </w:r>
    </w:p>
    <w:p>
      <w:pPr>
        <w:spacing w:before="280" w:after="160" w:line="360" w:lineRule="auto"/>
        <w:ind w:firstLine="0"/>
        <w:jc w:val="left"/>
      </w:pPr>
      <w:r>
        <w:rPr>
          <w:rFonts w:ascii="Times New Roman" w:hAnsi="Times New Roman" w:eastAsia="黑体"/>
          <w:b/>
          <w:sz w:val="32"/>
        </w:rPr>
        <w:t>二、原则：受害人无过错时，特殊体质一般不减轻侵权人责任</w:t>
      </w:r>
    </w:p>
    <w:p>
      <w:pPr>
        <w:spacing w:before="200" w:after="160" w:line="360" w:lineRule="auto"/>
        <w:ind w:firstLine="0"/>
        <w:jc w:val="left"/>
      </w:pPr>
      <w:r>
        <w:rPr>
          <w:rFonts w:ascii="Times New Roman" w:hAnsi="Times New Roman" w:eastAsia="黑体"/>
          <w:b/>
          <w:sz w:val="28"/>
        </w:rPr>
        <w:t>【原则案例】最高人民法院指导案例24号</w:t>
      </w:r>
    </w:p>
    <w:p>
      <w:pPr>
        <w:spacing w:before="0" w:after="80" w:line="360" w:lineRule="auto"/>
        <w:jc w:val="both"/>
      </w:pPr>
      <w:r>
        <w:rPr>
          <w:rFonts w:ascii="Times New Roman" w:hAnsi="Times New Roman" w:eastAsia="楷体"/>
          <w:b/>
          <w:sz w:val="24"/>
        </w:rPr>
        <w:t>荣宝英诉王阳、永诚财产保险股份有限公司江阴支公司机动车交通事故责任纠纷案</w:t>
      </w:r>
    </w:p>
    <w:p>
      <w:pPr>
        <w:spacing w:before="0" w:after="160" w:line="360" w:lineRule="auto"/>
        <w:jc w:val="both"/>
      </w:pPr>
      <w:r>
        <w:rPr>
          <w:rFonts w:ascii="Times New Roman" w:hAnsi="Times New Roman" w:eastAsia="仿宋"/>
          <w:b w:val="0"/>
          <w:sz w:val="22"/>
        </w:rPr>
        <w:t>（最高人民法院审判委员会讨论通过，2014年1月26日发布）</w:t>
      </w:r>
    </w:p>
    <w:p>
      <w:pPr>
        <w:spacing w:before="200" w:after="160" w:line="360" w:lineRule="auto"/>
        <w:ind w:firstLine="0"/>
        <w:jc w:val="left"/>
      </w:pPr>
      <w:r>
        <w:rPr>
          <w:rFonts w:ascii="Times New Roman" w:hAnsi="Times New Roman" w:eastAsia="黑体"/>
          <w:b/>
          <w:sz w:val="24"/>
        </w:rPr>
        <w:t>1. 基本案情</w:t>
      </w:r>
    </w:p>
    <w:p>
      <w:pPr>
        <w:spacing w:before="0" w:after="120" w:line="360" w:lineRule="auto"/>
        <w:ind w:firstLine="420"/>
        <w:jc w:val="both"/>
      </w:pPr>
      <w:r>
        <w:rPr>
          <w:rFonts w:ascii="Times New Roman" w:hAnsi="Times New Roman" w:eastAsia="宋体"/>
          <w:b w:val="0"/>
          <w:sz w:val="24"/>
        </w:rPr>
        <w:t>2012年2月10日，王阳驾驶轿车在无锡市蠡湖大道人行横道线处碰擦行人荣宝英致其受伤。交警认定：王阳负事故全部责任，荣宝英无责。司法鉴定结论：荣宝英左桡骨远端骨折十级伤残、左下肢损伤九级伤残；损伤参与度75%，个人体质因素（年老骨质疏松）占25%。</w:t>
      </w:r>
    </w:p>
    <w:p>
      <w:pPr>
        <w:spacing w:before="0" w:after="120" w:line="360" w:lineRule="auto"/>
        <w:ind w:firstLine="420"/>
        <w:jc w:val="both"/>
      </w:pPr>
      <w:r>
        <w:rPr>
          <w:rFonts w:ascii="Times New Roman" w:hAnsi="Times New Roman" w:eastAsia="宋体"/>
          <w:b w:val="0"/>
          <w:sz w:val="24"/>
        </w:rPr>
        <w:t>争议焦点：计算残疾赔偿金时，应否按“损伤参与度”扣减25%？一审法院予以扣减；荣宝英上诉。</w:t>
      </w:r>
    </w:p>
    <w:p>
      <w:pPr>
        <w:spacing w:before="200" w:after="160" w:line="360" w:lineRule="auto"/>
        <w:ind w:firstLine="0"/>
        <w:jc w:val="left"/>
      </w:pPr>
      <w:r>
        <w:rPr>
          <w:rFonts w:ascii="Times New Roman" w:hAnsi="Times New Roman" w:eastAsia="黑体"/>
          <w:b/>
          <w:sz w:val="24"/>
        </w:rPr>
        <w:t>2. 裁判要点（权威结论）</w:t>
      </w:r>
    </w:p>
    <w:p>
      <w:pPr>
        <w:spacing w:before="0" w:after="120" w:line="360" w:lineRule="auto"/>
        <w:ind w:firstLine="420"/>
        <w:jc w:val="both"/>
      </w:pPr>
      <w:r>
        <w:rPr>
          <w:rFonts w:ascii="Times New Roman" w:hAnsi="Times New Roman" w:eastAsia="楷体"/>
          <w:b/>
          <w:sz w:val="24"/>
        </w:rPr>
        <w:t>交通事故的受害人没有过错，其体质状况对损害后果的影响不属于可以减轻侵权人责任的法定情形。</w:t>
      </w:r>
    </w:p>
    <w:p>
      <w:pPr>
        <w:spacing w:before="200" w:after="160" w:line="360" w:lineRule="auto"/>
        <w:ind w:firstLine="0"/>
        <w:jc w:val="left"/>
      </w:pPr>
      <w:r>
        <w:rPr>
          <w:rFonts w:ascii="Times New Roman" w:hAnsi="Times New Roman" w:eastAsia="黑体"/>
          <w:b/>
          <w:sz w:val="24"/>
        </w:rPr>
        <w:t>3. 裁判理由精要（PPT可拆为三点）</w:t>
      </w:r>
    </w:p>
    <w:p>
      <w:pPr>
        <w:spacing w:after="80" w:line="360" w:lineRule="auto"/>
        <w:ind w:left="420" w:firstLine="0"/>
        <w:jc w:val="both"/>
      </w:pPr>
      <w:r>
        <w:rPr>
          <w:rFonts w:ascii="Times New Roman" w:hAnsi="Times New Roman" w:eastAsia="宋体"/>
          <w:b/>
          <w:sz w:val="24"/>
        </w:rPr>
        <w:t>• 过错要件：</w:t>
      </w:r>
      <w:r>
        <w:rPr>
          <w:rFonts w:ascii="Times New Roman" w:hAnsi="Times New Roman" w:eastAsia="宋体"/>
          <w:b w:val="0"/>
          <w:sz w:val="24"/>
        </w:rPr>
        <w:t>过错要件：过失相抵以受害人“过错”为前提。年老骨质疏松属于生理现象与客观状况，不是《侵权责任法》第26条意义上的过错，不能据此自负责任。</w:t>
      </w:r>
    </w:p>
    <w:p>
      <w:pPr>
        <w:spacing w:after="80" w:line="360" w:lineRule="auto"/>
        <w:ind w:left="420" w:firstLine="0"/>
        <w:jc w:val="both"/>
      </w:pPr>
      <w:r>
        <w:rPr>
          <w:rFonts w:ascii="Times New Roman" w:hAnsi="Times New Roman" w:eastAsia="宋体"/>
          <w:b/>
          <w:sz w:val="24"/>
        </w:rPr>
        <w:t>• 因果关系：</w:t>
      </w:r>
      <w:r>
        <w:rPr>
          <w:rFonts w:ascii="Times New Roman" w:hAnsi="Times New Roman" w:eastAsia="宋体"/>
          <w:b w:val="0"/>
          <w:sz w:val="24"/>
        </w:rPr>
        <w:t>因果关系：事故系机动车未尽安全注意义务碰擦行人所致；骨质疏松只是损害后果的客观因素，并无法律上的因果关系，不中断也不削减侵权人的赔偿义务。</w:t>
      </w:r>
    </w:p>
    <w:p>
      <w:pPr>
        <w:spacing w:after="80" w:line="360" w:lineRule="auto"/>
        <w:ind w:left="420" w:firstLine="0"/>
        <w:jc w:val="both"/>
      </w:pPr>
      <w:r>
        <w:rPr>
          <w:rFonts w:ascii="Times New Roman" w:hAnsi="Times New Roman" w:eastAsia="宋体"/>
          <w:b/>
          <w:sz w:val="24"/>
        </w:rPr>
        <w:t>• 保险法角度：</w:t>
      </w:r>
      <w:r>
        <w:rPr>
          <w:rFonts w:ascii="Times New Roman" w:hAnsi="Times New Roman" w:eastAsia="宋体"/>
          <w:b w:val="0"/>
          <w:sz w:val="24"/>
        </w:rPr>
        <w:t>保险法角度：交强险立法未规定可依受害人体质扣减责任，保险公司免责事由限于受害人故意造成事故等情形，参照“损伤参与度”扣减缺乏法律依据。</w:t>
      </w:r>
    </w:p>
    <w:p>
      <w:pPr>
        <w:spacing w:before="200" w:after="160" w:line="360" w:lineRule="auto"/>
        <w:ind w:firstLine="0"/>
        <w:jc w:val="left"/>
      </w:pPr>
      <w:r>
        <w:rPr>
          <w:rFonts w:ascii="Times New Roman" w:hAnsi="Times New Roman" w:eastAsia="黑体"/>
          <w:b/>
          <w:sz w:val="24"/>
        </w:rPr>
        <w:t>4. 二审结果</w:t>
      </w:r>
    </w:p>
    <w:p>
      <w:pPr>
        <w:spacing w:before="0" w:after="120" w:line="360" w:lineRule="auto"/>
        <w:ind w:firstLine="420"/>
        <w:jc w:val="both"/>
      </w:pPr>
      <w:r>
        <w:rPr>
          <w:rFonts w:ascii="Times New Roman" w:hAnsi="Times New Roman" w:eastAsia="宋体"/>
          <w:b w:val="0"/>
          <w:sz w:val="24"/>
        </w:rPr>
        <w:t>无锡中院以原审适用法律错误为由改判，撤销对残疾赔偿金的25%扣减，由永诚保险公司等按全额标准赔偿。</w:t>
      </w:r>
    </w:p>
    <w:p>
      <w:pPr>
        <w:spacing w:before="200" w:after="160" w:line="360" w:lineRule="auto"/>
        <w:ind w:firstLine="0"/>
        <w:jc w:val="left"/>
      </w:pPr>
      <w:r>
        <w:rPr>
          <w:rFonts w:ascii="Times New Roman" w:hAnsi="Times New Roman" w:eastAsia="黑体"/>
          <w:b/>
          <w:sz w:val="24"/>
        </w:rPr>
        <w:t>5. 案例评析（理论落点）</w:t>
      </w:r>
    </w:p>
    <w:p>
      <w:pPr>
        <w:spacing w:before="0" w:after="120" w:line="360" w:lineRule="auto"/>
        <w:ind w:firstLine="420"/>
        <w:jc w:val="both"/>
      </w:pPr>
      <w:r>
        <w:rPr>
          <w:rFonts w:ascii="Times New Roman" w:hAnsi="Times New Roman" w:eastAsia="宋体"/>
          <w:b w:val="0"/>
          <w:sz w:val="24"/>
        </w:rPr>
        <w:t>指导案例24号是我国司法实践对“蛋壳脑袋规则”的权威确认：侵权人不得挑选受害人，亦不得因受害人禀赋差异而减损其法定赔偿。裁判要点中“受害人没有过错”一语，同时划定了原则的适用范围——若受害人另有过错，则可进入过失相抵轨道（见下文例外一）。</w:t>
      </w:r>
    </w:p>
    <w:p>
      <w:pPr>
        <w:spacing w:before="200" w:after="160" w:line="360" w:lineRule="auto"/>
        <w:ind w:firstLine="0"/>
        <w:jc w:val="left"/>
      </w:pPr>
      <w:r>
        <w:rPr>
          <w:rFonts w:ascii="Times New Roman" w:hAnsi="Times New Roman" w:eastAsia="黑体"/>
          <w:b/>
          <w:sz w:val="28"/>
        </w:rPr>
        <w:t>【原则延伸案例】特殊体质诱发损害，仍不得以体质减责</w:t>
      </w:r>
    </w:p>
    <w:p>
      <w:pPr>
        <w:spacing w:before="0" w:after="80" w:line="360" w:lineRule="auto"/>
        <w:jc w:val="both"/>
      </w:pPr>
      <w:r>
        <w:rPr>
          <w:rFonts w:ascii="Times New Roman" w:hAnsi="Times New Roman" w:eastAsia="楷体"/>
          <w:b/>
          <w:sz w:val="24"/>
        </w:rPr>
        <w:t>王某诉张某健康权纠纷案（河南省南阳市宛城区人民法院，公开案例）</w:t>
      </w:r>
    </w:p>
    <w:p>
      <w:pPr>
        <w:spacing w:before="0" w:after="120" w:line="360" w:lineRule="auto"/>
        <w:ind w:firstLine="420"/>
        <w:jc w:val="both"/>
      </w:pPr>
      <w:r>
        <w:rPr>
          <w:rFonts w:ascii="Times New Roman" w:hAnsi="Times New Roman" w:eastAsia="宋体"/>
          <w:b w:val="0"/>
          <w:sz w:val="24"/>
        </w:rPr>
        <w:t>室友争执中，张某将王某推倒并踢踹，致气胸等损害。鉴定及会诊意见：王某原有左肺肺尖部发育不良、多发肺大疱，胸部轻微外力为诱因，导致肺大疱破裂引起气胸。被告主张损害主要系自身特殊体质，应减责或免责。</w:t>
      </w:r>
    </w:p>
    <w:p>
      <w:pPr>
        <w:spacing w:before="0" w:after="120" w:line="360" w:lineRule="auto"/>
        <w:ind w:firstLine="420"/>
        <w:jc w:val="both"/>
      </w:pPr>
      <w:r>
        <w:rPr>
          <w:rFonts w:ascii="Times New Roman" w:hAnsi="Times New Roman" w:eastAsia="宋体"/>
          <w:b w:val="0"/>
          <w:sz w:val="24"/>
        </w:rPr>
        <w:t>法院认为：若无侵权行为，特殊体质仅存潜在风险，并不会独立、主动引发损害；特殊体质是客观身体状况而非主观过错，对损害不构成法律上因果关系中的“原因”，不适用《民法典》第1173条过失相抵。判决支持侵权人承担责任，不以特殊体质减责。</w:t>
      </w:r>
    </w:p>
    <w:p>
      <w:pPr>
        <w:spacing w:before="0" w:after="120" w:line="360" w:lineRule="auto"/>
        <w:ind w:firstLine="420"/>
        <w:jc w:val="both"/>
      </w:pPr>
      <w:r>
        <w:rPr>
          <w:rFonts w:ascii="Times New Roman" w:hAnsi="Times New Roman" w:eastAsia="宋体"/>
          <w:b w:val="0"/>
          <w:sz w:val="24"/>
        </w:rPr>
        <w:t>与指导案例24号的呼应：无论是“损害扩大”（骨质疏松加重伤残）还是“诱因结合”（外力诱发肺大疱破裂），只要受害人对损害发生无过错，特殊体质均不能成为减责法定事由。</w:t>
      </w:r>
    </w:p>
    <w:p>
      <w:pPr>
        <w:spacing w:before="280" w:after="160" w:line="360" w:lineRule="auto"/>
        <w:ind w:firstLine="0"/>
        <w:jc w:val="left"/>
      </w:pPr>
      <w:r>
        <w:rPr>
          <w:rFonts w:ascii="Times New Roman" w:hAnsi="Times New Roman" w:eastAsia="黑体"/>
          <w:b/>
          <w:sz w:val="32"/>
        </w:rPr>
        <w:t>三、例外之一：过失相抵——受害人另有过错时可减轻</w:t>
      </w:r>
    </w:p>
    <w:p>
      <w:pPr>
        <w:spacing w:before="200" w:after="160" w:line="360" w:lineRule="auto"/>
        <w:ind w:firstLine="0"/>
        <w:jc w:val="left"/>
      </w:pPr>
      <w:r>
        <w:rPr>
          <w:rFonts w:ascii="Times New Roman" w:hAnsi="Times New Roman" w:eastAsia="黑体"/>
          <w:b/>
          <w:sz w:val="28"/>
        </w:rPr>
        <w:t>（一）理论要点（务必与“特殊体质＝过错”划清界限）</w:t>
      </w:r>
    </w:p>
    <w:p>
      <w:pPr>
        <w:spacing w:before="0" w:after="120" w:line="360" w:lineRule="auto"/>
        <w:ind w:firstLine="420"/>
        <w:jc w:val="both"/>
      </w:pPr>
      <w:r>
        <w:rPr>
          <w:rFonts w:ascii="Times New Roman" w:hAnsi="Times New Roman" w:eastAsia="宋体"/>
          <w:b w:val="0"/>
          <w:sz w:val="24"/>
        </w:rPr>
        <w:t>过失相抵（《民法典》第1173条）的规范结构是：受害人对同一损害的发生或扩大有过错 → 可以减轻侵权人责任。此处“过错”包括：</w:t>
      </w:r>
    </w:p>
    <w:p>
      <w:pPr>
        <w:spacing w:after="80" w:line="360" w:lineRule="auto"/>
        <w:ind w:left="420" w:firstLine="0"/>
        <w:jc w:val="both"/>
      </w:pPr>
      <w:r>
        <w:rPr>
          <w:rFonts w:ascii="Times New Roman" w:hAnsi="Times New Roman" w:eastAsia="宋体"/>
          <w:b w:val="0"/>
          <w:sz w:val="24"/>
        </w:rPr>
        <w:t>• 固有意义上的过错：如违反交通规则闯红灯、超速等，本身即违法或不当侵害风险制造行为；</w:t>
      </w:r>
    </w:p>
    <w:p>
      <w:pPr>
        <w:spacing w:after="80" w:line="360" w:lineRule="auto"/>
        <w:ind w:left="420" w:firstLine="0"/>
        <w:jc w:val="both"/>
      </w:pPr>
      <w:r>
        <w:rPr>
          <w:rFonts w:ascii="Times New Roman" w:hAnsi="Times New Roman" w:eastAsia="宋体"/>
          <w:b w:val="0"/>
          <w:sz w:val="24"/>
        </w:rPr>
        <w:t>• 非固有意义上的过错（对自己的过错）：违反保护自己利益的不真正义务，如受伤后拒不治疗致损害扩大。</w:t>
      </w:r>
    </w:p>
    <w:p>
      <w:pPr>
        <w:spacing w:before="0" w:after="120" w:line="360" w:lineRule="auto"/>
        <w:ind w:firstLine="420"/>
        <w:jc w:val="both"/>
      </w:pPr>
      <w:r>
        <w:rPr>
          <w:rFonts w:ascii="Times New Roman" w:hAnsi="Times New Roman" w:eastAsia="宋体"/>
          <w:b w:val="0"/>
          <w:sz w:val="24"/>
        </w:rPr>
        <w:t>通说与指导案例24号一致认为：特殊体质本身既非过错，也不应因特殊体质而苛以高于常人的自我保护义务（否则有违人格平等与行为自由）。因此，“过失相抵”作为例外，真正减责的是受害人的过错行为，而不是特殊体质；司法实践中不得把“体质参与度”伪装成过失相抵。</w:t>
      </w:r>
    </w:p>
    <w:p>
      <w:pPr>
        <w:spacing w:before="200" w:after="160" w:line="360" w:lineRule="auto"/>
        <w:ind w:firstLine="0"/>
        <w:jc w:val="left"/>
      </w:pPr>
      <w:r>
        <w:rPr>
          <w:rFonts w:ascii="Times New Roman" w:hAnsi="Times New Roman" w:eastAsia="黑体"/>
          <w:b/>
          <w:sz w:val="28"/>
        </w:rPr>
        <w:t>（二）例外案例：胡某擅入蜂场被蜇过敏死亡案</w:t>
      </w:r>
    </w:p>
    <w:p>
      <w:pPr>
        <w:spacing w:before="0" w:after="120" w:line="360" w:lineRule="auto"/>
        <w:jc w:val="both"/>
      </w:pPr>
      <w:r>
        <w:rPr>
          <w:rFonts w:ascii="Times New Roman" w:hAnsi="Times New Roman" w:eastAsia="仿宋"/>
          <w:b w:val="0"/>
          <w:sz w:val="22"/>
        </w:rPr>
        <w:t>山东省临沂市蒙阴县人民法院审理，《法治日报》2024年12月8日报道</w:t>
      </w:r>
    </w:p>
    <w:p>
      <w:pPr>
        <w:spacing w:before="200" w:after="160" w:line="360" w:lineRule="auto"/>
        <w:ind w:firstLine="0"/>
        <w:jc w:val="left"/>
      </w:pPr>
      <w:r>
        <w:rPr>
          <w:rFonts w:ascii="Times New Roman" w:hAnsi="Times New Roman" w:eastAsia="黑体"/>
          <w:b/>
          <w:sz w:val="24"/>
        </w:rPr>
        <w:t>1. 基本案情</w:t>
      </w:r>
    </w:p>
    <w:p>
      <w:pPr>
        <w:spacing w:before="0" w:after="120" w:line="360" w:lineRule="auto"/>
        <w:ind w:firstLine="420"/>
        <w:jc w:val="both"/>
      </w:pPr>
      <w:r>
        <w:rPr>
          <w:rFonts w:ascii="Times New Roman" w:hAnsi="Times New Roman" w:eastAsia="宋体"/>
          <w:b w:val="0"/>
          <w:sz w:val="24"/>
        </w:rPr>
        <w:t>任某租用废弃院落养蜂十余箱。胡某完工后未经许可进入蜂场洗手，被蜜蜂蜇伤太阳穴附近，随即出现严重过敏反应，经抢救无效死亡。死亡诊断：过敏反应、速发型超敏反应，蜂蜇伤。胡某自述有蜜蜂蜇伤过敏史。近亲属诉请任某赔偿七十余万元。</w:t>
      </w:r>
    </w:p>
    <w:p>
      <w:pPr>
        <w:spacing w:before="200" w:after="160" w:line="360" w:lineRule="auto"/>
        <w:ind w:firstLine="0"/>
        <w:jc w:val="left"/>
      </w:pPr>
      <w:r>
        <w:rPr>
          <w:rFonts w:ascii="Times New Roman" w:hAnsi="Times New Roman" w:eastAsia="黑体"/>
          <w:b/>
          <w:sz w:val="24"/>
        </w:rPr>
        <w:t>2. 争议与裁判</w:t>
      </w:r>
    </w:p>
    <w:p>
      <w:pPr>
        <w:spacing w:before="0" w:after="120" w:line="360" w:lineRule="auto"/>
        <w:ind w:firstLine="420"/>
        <w:jc w:val="both"/>
      </w:pPr>
      <w:r>
        <w:rPr>
          <w:rFonts w:ascii="Times New Roman" w:hAnsi="Times New Roman" w:eastAsia="宋体"/>
          <w:b w:val="0"/>
          <w:sz w:val="24"/>
        </w:rPr>
        <w:t>任某抗辩：胡某明知过敏体质仍擅自进入蜂场，自身重大过错，饲养人不应承担责任。</w:t>
      </w:r>
    </w:p>
    <w:p>
      <w:pPr>
        <w:spacing w:before="0" w:after="120" w:line="360" w:lineRule="auto"/>
        <w:ind w:firstLine="420"/>
        <w:jc w:val="both"/>
      </w:pPr>
      <w:r>
        <w:rPr>
          <w:rFonts w:ascii="Times New Roman" w:hAnsi="Times New Roman" w:eastAsia="宋体"/>
          <w:b w:val="0"/>
          <w:sz w:val="24"/>
        </w:rPr>
        <w:t>法院适用《民法典》第1245条（饲养动物损害责任）：蜜蜂蜇伤与死亡之间有因果关系，饲养人应担责；但胡某明知过敏性体质仍进入蜂场，未尽安全注意义务，对自身损害发生具有重大过错，应减轻饲养人责任。综合案情，判令任某承担20%赔偿责任（约28.1万元）。</w:t>
      </w:r>
    </w:p>
    <w:p>
      <w:pPr>
        <w:spacing w:before="200" w:after="160" w:line="360" w:lineRule="auto"/>
        <w:ind w:firstLine="0"/>
        <w:jc w:val="left"/>
      </w:pPr>
      <w:r>
        <w:rPr>
          <w:rFonts w:ascii="Times New Roman" w:hAnsi="Times New Roman" w:eastAsia="黑体"/>
          <w:b/>
          <w:sz w:val="24"/>
        </w:rPr>
        <w:t>3. 对本专题的启示（PPT结论句）</w:t>
      </w:r>
    </w:p>
    <w:p>
      <w:pPr>
        <w:spacing w:after="80" w:line="360" w:lineRule="auto"/>
        <w:ind w:left="420" w:firstLine="0"/>
        <w:jc w:val="both"/>
      </w:pPr>
      <w:r>
        <w:rPr>
          <w:rFonts w:ascii="Times New Roman" w:hAnsi="Times New Roman" w:eastAsia="宋体"/>
          <w:b w:val="0"/>
          <w:sz w:val="24"/>
        </w:rPr>
        <w:t>• 过敏体质本身不能否定因果关系，也不能单独作为减责理由——这仍尊重“蛋壳脑袋”逻辑；</w:t>
      </w:r>
    </w:p>
    <w:p>
      <w:pPr>
        <w:spacing w:after="80" w:line="360" w:lineRule="auto"/>
        <w:ind w:left="420" w:firstLine="0"/>
        <w:jc w:val="both"/>
      </w:pPr>
      <w:r>
        <w:rPr>
          <w:rFonts w:ascii="Times New Roman" w:hAnsi="Times New Roman" w:eastAsia="宋体"/>
          <w:b w:val="0"/>
          <w:sz w:val="24"/>
        </w:rPr>
        <w:t>• 真正启动过失相抵的，是受害人擅自进入危险场所、未采取防护等重大过失行为；</w:t>
      </w:r>
    </w:p>
    <w:p>
      <w:pPr>
        <w:spacing w:after="80" w:line="360" w:lineRule="auto"/>
        <w:ind w:left="420" w:firstLine="0"/>
        <w:jc w:val="both"/>
      </w:pPr>
      <w:r>
        <w:rPr>
          <w:rFonts w:ascii="Times New Roman" w:hAnsi="Times New Roman" w:eastAsia="宋体"/>
          <w:b w:val="0"/>
          <w:sz w:val="24"/>
        </w:rPr>
        <w:t>• 对照指导案例24号：荣宝英在人行横道正常通行、对事故无过错 → 全额赔偿；胡某擅自入场且未尽注意 → 依过错减责。二者并不矛盾。</w:t>
      </w:r>
    </w:p>
    <w:p>
      <w:pPr>
        <w:spacing w:before="200" w:after="160" w:line="360" w:lineRule="auto"/>
        <w:ind w:firstLine="0"/>
        <w:jc w:val="left"/>
      </w:pPr>
      <w:r>
        <w:rPr>
          <w:rFonts w:ascii="Times New Roman" w:hAnsi="Times New Roman" w:eastAsia="黑体"/>
          <w:b/>
          <w:sz w:val="28"/>
        </w:rPr>
        <w:t>（三）适用边界提示</w:t>
      </w:r>
    </w:p>
    <w:p>
      <w:pPr>
        <w:spacing w:before="0" w:after="120" w:line="360" w:lineRule="auto"/>
        <w:ind w:firstLine="420"/>
        <w:jc w:val="both"/>
      </w:pPr>
      <w:r>
        <w:rPr>
          <w:rFonts w:ascii="Times New Roman" w:hAnsi="Times New Roman" w:eastAsia="宋体"/>
          <w:b w:val="0"/>
          <w:sz w:val="24"/>
        </w:rPr>
        <w:t>实务中应警惕两种错误：一是把“特殊体质”直接等同于受害人过错；二是在受害人已因闯红灯等被认定事故责任比例后，再叠加“体质参与度”二次扣减。正确做法是：仅按受害人过错程度过失相抵；特殊体质原则上不再另行扣减。</w:t>
      </w:r>
    </w:p>
    <w:p>
      <w:pPr>
        <w:spacing w:before="280" w:after="160" w:line="360" w:lineRule="auto"/>
        <w:ind w:firstLine="0"/>
        <w:jc w:val="left"/>
      </w:pPr>
      <w:r>
        <w:rPr>
          <w:rFonts w:ascii="Times New Roman" w:hAnsi="Times New Roman" w:eastAsia="黑体"/>
          <w:b/>
          <w:sz w:val="32"/>
        </w:rPr>
        <w:t>四、例外之二：假设因果关系——赔偿范围可受“假设原因”限制</w:t>
      </w:r>
    </w:p>
    <w:p>
      <w:pPr>
        <w:spacing w:before="200" w:after="160" w:line="360" w:lineRule="auto"/>
        <w:ind w:firstLine="0"/>
        <w:jc w:val="left"/>
      </w:pPr>
      <w:r>
        <w:rPr>
          <w:rFonts w:ascii="Times New Roman" w:hAnsi="Times New Roman" w:eastAsia="黑体"/>
          <w:b/>
          <w:sz w:val="28"/>
        </w:rPr>
        <w:t>（一）理论要点</w:t>
      </w:r>
    </w:p>
    <w:p>
      <w:pPr>
        <w:spacing w:before="0" w:after="120" w:line="360" w:lineRule="auto"/>
        <w:ind w:firstLine="420"/>
        <w:jc w:val="both"/>
      </w:pPr>
      <w:r>
        <w:rPr>
          <w:rFonts w:ascii="Times New Roman" w:hAnsi="Times New Roman" w:eastAsia="宋体"/>
          <w:b w:val="0"/>
          <w:sz w:val="24"/>
        </w:rPr>
        <w:t>假设因果关系（hypothetische Kausalität），指损害虽已由加害行为现实造成，但即便没有该加害行为，损害的全部或一部也会因另一与加害人无关的原因而发生。该另一原因称为“假设原因”或“保留原因”。</w:t>
      </w:r>
    </w:p>
    <w:p>
      <w:pPr>
        <w:spacing w:before="0" w:after="120" w:line="360" w:lineRule="auto"/>
        <w:ind w:firstLine="420"/>
        <w:jc w:val="both"/>
      </w:pPr>
      <w:r>
        <w:rPr>
          <w:rFonts w:ascii="Times New Roman" w:hAnsi="Times New Roman" w:eastAsia="宋体"/>
          <w:b w:val="0"/>
          <w:sz w:val="24"/>
        </w:rPr>
        <w:t>在特殊体质场合，典型形态是：受害人于侵权发生前已患绝症或病入膏肓，死亡或严重残疾在短期内几乎不可避免；加害行为只是提前实现了这一结果。此时，特殊体质不是“共同扩大损害”的单纯诱因，而是损害进程中本已存在的“损害体质”（Schadensanlagen）。</w:t>
      </w:r>
    </w:p>
    <w:p>
      <w:pPr>
        <w:spacing w:before="0" w:after="120" w:line="360" w:lineRule="auto"/>
        <w:ind w:firstLine="420"/>
        <w:jc w:val="both"/>
      </w:pPr>
      <w:r>
        <w:rPr>
          <w:rFonts w:ascii="Times New Roman" w:hAnsi="Times New Roman" w:eastAsia="宋体"/>
          <w:b w:val="0"/>
          <w:sz w:val="24"/>
        </w:rPr>
        <w:t>比较法与我国学说（程啸等）较一致的处理思路是：假设因果关系通常不否定请求权成立，但可通过假设原因进程限缩损害范围——尤其是死亡赔偿金、残疾赔偿金等“所失利益”，原则上限于“真正原因发生时起至假设原因原本会发生损害时止”的区间；医疗费等因侵权新增的所受损害，仍应由侵权人赔偿。</w:t>
      </w:r>
    </w:p>
    <w:p>
      <w:pPr>
        <w:spacing w:before="200" w:after="160" w:line="360" w:lineRule="auto"/>
        <w:ind w:firstLine="0"/>
        <w:jc w:val="left"/>
      </w:pPr>
      <w:r>
        <w:rPr>
          <w:rFonts w:ascii="Times New Roman" w:hAnsi="Times New Roman" w:eastAsia="黑体"/>
          <w:b/>
          <w:sz w:val="28"/>
        </w:rPr>
        <w:t>（二）类型化案例说明</w:t>
      </w:r>
    </w:p>
    <w:p>
      <w:pPr>
        <w:spacing w:before="0" w:after="120" w:line="360" w:lineRule="auto"/>
        <w:ind w:firstLine="420"/>
        <w:jc w:val="both"/>
      </w:pPr>
      <w:r>
        <w:rPr>
          <w:rFonts w:ascii="Times New Roman" w:hAnsi="Times New Roman" w:eastAsia="宋体"/>
          <w:b w:val="0"/>
          <w:sz w:val="24"/>
        </w:rPr>
        <w:t>学理典型（程啸：《受害人特殊体质与损害赔偿责任的减轻》，《法学研究》）：受害人肖某交通事故前已有肺癌并转移，事故仅造成头部外伤、锁骨骨折等非致命伤；死亡主要原因系肺癌转移致呼吸衰竭，外伤使抵抗力下降，成为诱发因素。此类案件中，若仍按普通人20年计算年限全额给付死亡赔偿金，无异于令侵权人替受害人承担本将因疾病发生的损失，有失公平。妥当做法是：结合剩余可预期生存期间，限缩死亡赔偿金等所失利益的计算基数或年限。</w:t>
      </w:r>
    </w:p>
    <w:p>
      <w:pPr>
        <w:spacing w:before="0" w:after="120" w:line="360" w:lineRule="auto"/>
        <w:ind w:firstLine="420"/>
        <w:jc w:val="both"/>
      </w:pPr>
      <w:r>
        <w:rPr>
          <w:rFonts w:ascii="Times New Roman" w:hAnsi="Times New Roman" w:eastAsia="宋体"/>
          <w:b w:val="0"/>
          <w:sz w:val="24"/>
        </w:rPr>
        <w:t>实践对照：江苏南通中院“韩某癌症患者转院途中车祸死亡案”中，鉴定外伤参与度约20%，保险公司主张按参与度打折；法院仍以指导案例24号精神判令全额赔偿，理由是事故前疾病尚未造成死亡，无外伤诱发则暂不发生死亡后果。可见：司法实务对“重疾＋事故”案件存在“全额赔偿”与“限缩所失利益”两种倾向。 PPT表述建议采用理论通说：仅当特殊体质已使同一损害“不可避免并将很快发生”时，才按假设因果关系限缩赔偿范围；若特殊体质仅是诱发、加重因素，仍回归指导案例24号的全额赔偿原则。</w:t>
      </w:r>
    </w:p>
    <w:p>
      <w:pPr>
        <w:spacing w:before="200" w:after="160" w:line="360" w:lineRule="auto"/>
        <w:ind w:firstLine="0"/>
        <w:jc w:val="left"/>
      </w:pPr>
      <w:r>
        <w:rPr>
          <w:rFonts w:ascii="Times New Roman" w:hAnsi="Times New Roman" w:eastAsia="黑体"/>
          <w:b/>
          <w:sz w:val="28"/>
        </w:rPr>
        <w:t>（三）与原则的区分标准（可做成对比表）</w:t>
      </w:r>
    </w:p>
    <w:p>
      <w:pPr>
        <w:spacing w:after="80" w:line="360" w:lineRule="auto"/>
        <w:ind w:left="420" w:firstLine="0"/>
        <w:jc w:val="both"/>
      </w:pPr>
      <w:r>
        <w:rPr>
          <w:rFonts w:ascii="Times New Roman" w:hAnsi="Times New Roman" w:eastAsia="宋体"/>
          <w:b w:val="0"/>
          <w:sz w:val="24"/>
        </w:rPr>
        <w:t>• 原则（指导案例24号）：特殊体质使损害更重，但无侵权则通常不会发生该次损害 → 全额赔偿；</w:t>
      </w:r>
    </w:p>
    <w:p>
      <w:pPr>
        <w:spacing w:after="80" w:line="360" w:lineRule="auto"/>
        <w:ind w:left="420" w:firstLine="0"/>
        <w:jc w:val="both"/>
      </w:pPr>
      <w:r>
        <w:rPr>
          <w:rFonts w:ascii="Times New Roman" w:hAnsi="Times New Roman" w:eastAsia="宋体"/>
          <w:b w:val="0"/>
          <w:sz w:val="24"/>
        </w:rPr>
        <w:t>• 假设因果关系例外：无侵权时，同一损害（死亡/残疾）短期内仍几乎必然发生 → 可限缩所失利益；</w:t>
      </w:r>
    </w:p>
    <w:p>
      <w:pPr>
        <w:spacing w:after="80" w:line="360" w:lineRule="auto"/>
        <w:ind w:left="420" w:firstLine="0"/>
        <w:jc w:val="both"/>
      </w:pPr>
      <w:r>
        <w:rPr>
          <w:rFonts w:ascii="Times New Roman" w:hAnsi="Times New Roman" w:eastAsia="宋体"/>
          <w:b w:val="0"/>
          <w:sz w:val="24"/>
        </w:rPr>
        <w:t>• 判断关键：特殊体质是“环境条件/诱因”，还是“已启动且即将完成的损害进程”。</w:t>
      </w:r>
    </w:p>
    <w:p>
      <w:pPr>
        <w:spacing w:before="280" w:after="160" w:line="360" w:lineRule="auto"/>
        <w:ind w:firstLine="0"/>
        <w:jc w:val="left"/>
      </w:pPr>
      <w:r>
        <w:rPr>
          <w:rFonts w:ascii="Times New Roman" w:hAnsi="Times New Roman" w:eastAsia="黑体"/>
          <w:b/>
          <w:sz w:val="32"/>
        </w:rPr>
        <w:t>五、基本结论（建议作为PPT收束页）</w:t>
      </w:r>
    </w:p>
    <w:p>
      <w:pPr>
        <w:spacing w:before="0" w:after="120" w:line="360" w:lineRule="auto"/>
        <w:ind w:firstLine="420"/>
        <w:jc w:val="both"/>
      </w:pPr>
      <w:r>
        <w:rPr>
          <w:rFonts w:ascii="Times New Roman" w:hAnsi="Times New Roman" w:eastAsia="宋体"/>
          <w:b w:val="0"/>
          <w:sz w:val="24"/>
        </w:rPr>
        <w:t>第一，原则：受害人特殊体质本身不是过错，也不属于法定减责事由。在受害人无过错的人身损害案件中，侵权人应“接受他所遇见的受害人”，不得以损伤参与度、体质原因力为由减轻赔偿责任。权威依据为最高人民法院指导案例24号。</w:t>
      </w:r>
    </w:p>
    <w:p>
      <w:pPr>
        <w:spacing w:before="0" w:after="120" w:line="360" w:lineRule="auto"/>
        <w:ind w:firstLine="420"/>
        <w:jc w:val="both"/>
      </w:pPr>
      <w:r>
        <w:rPr>
          <w:rFonts w:ascii="Times New Roman" w:hAnsi="Times New Roman" w:eastAsia="宋体"/>
          <w:b w:val="0"/>
          <w:sz w:val="24"/>
        </w:rPr>
        <w:t>第二，例外（过失相抵）：当受害人对损害的发生或扩大另有过错时，依《民法典》第1173条过失相抵，可按过错程度减轻责任。减责对象是过错行为，不是特殊体质；禁止以“体质参与度”二次扣减。</w:t>
      </w:r>
    </w:p>
    <w:p>
      <w:pPr>
        <w:spacing w:before="0" w:after="120" w:line="360" w:lineRule="auto"/>
        <w:ind w:firstLine="420"/>
        <w:jc w:val="both"/>
      </w:pPr>
      <w:r>
        <w:rPr>
          <w:rFonts w:ascii="Times New Roman" w:hAnsi="Times New Roman" w:eastAsia="宋体"/>
          <w:b w:val="0"/>
          <w:sz w:val="24"/>
        </w:rPr>
        <w:t>第三，例外（假设因果关系）：当特殊体质在侵权前已使死亡或残疾几乎不可避免，加害行为仅提前实现该结果时，可在责任范围层面对死亡赔偿金、残疾赔偿金等所失利益予以合理限缩；因侵权新增的医疗费等所受损害，原则上仍应赔偿。</w:t>
      </w:r>
    </w:p>
    <w:p>
      <w:pPr>
        <w:spacing w:before="0" w:after="120" w:line="360" w:lineRule="auto"/>
        <w:ind w:firstLine="420"/>
        <w:jc w:val="both"/>
      </w:pPr>
      <w:r>
        <w:rPr>
          <w:rFonts w:ascii="Times New Roman" w:hAnsi="Times New Roman" w:eastAsia="宋体"/>
          <w:b w:val="0"/>
          <w:sz w:val="24"/>
        </w:rPr>
        <w:t>第四，价值立场：法律平等保护每一自然人的生命权、身体权、健康权，不因体质强弱而异其标准。原则优先、例外严格，是本专题的基本结论。</w:t>
      </w:r>
    </w:p>
    <w:p>
      <w:pPr>
        <w:spacing w:before="280" w:after="160" w:line="360" w:lineRule="auto"/>
        <w:ind w:firstLine="0"/>
        <w:jc w:val="left"/>
      </w:pPr>
      <w:r>
        <w:rPr>
          <w:rFonts w:ascii="Times New Roman" w:hAnsi="Times New Roman" w:eastAsia="黑体"/>
          <w:b/>
          <w:sz w:val="32"/>
        </w:rPr>
        <w:t>六、本组PPT结构建议（供分工对接）</w:t>
      </w:r>
    </w:p>
    <w:p>
      <w:pPr>
        <w:spacing w:after="80" w:line="360" w:lineRule="auto"/>
        <w:ind w:left="420" w:firstLine="0"/>
        <w:jc w:val="both"/>
      </w:pPr>
      <w:r>
        <w:rPr>
          <w:rFonts w:ascii="Times New Roman" w:hAnsi="Times New Roman" w:eastAsia="宋体"/>
          <w:b w:val="0"/>
          <w:sz w:val="24"/>
        </w:rPr>
        <w:t>• 第1页｜问题引入：特殊体质能否让赔偿“打折”？</w:t>
      </w:r>
    </w:p>
    <w:p>
      <w:pPr>
        <w:spacing w:after="80" w:line="360" w:lineRule="auto"/>
        <w:ind w:left="420" w:firstLine="0"/>
        <w:jc w:val="both"/>
      </w:pPr>
      <w:r>
        <w:rPr>
          <w:rFonts w:ascii="Times New Roman" w:hAnsi="Times New Roman" w:eastAsia="宋体"/>
          <w:b w:val="0"/>
          <w:sz w:val="24"/>
        </w:rPr>
        <w:t>• 第2页｜理论一句话：蛋壳脑袋规则＋《民法典》第1173条（过错≠体质）</w:t>
      </w:r>
    </w:p>
    <w:p>
      <w:pPr>
        <w:spacing w:after="80" w:line="360" w:lineRule="auto"/>
        <w:ind w:left="420" w:firstLine="0"/>
        <w:jc w:val="both"/>
      </w:pPr>
      <w:r>
        <w:rPr>
          <w:rFonts w:ascii="Times New Roman" w:hAnsi="Times New Roman" w:eastAsia="宋体"/>
          <w:b w:val="0"/>
          <w:sz w:val="24"/>
        </w:rPr>
        <w:t>• 第3—4页｜原则案例精讲：指导案例24号（案情→争点→裁判要点→三点理由）</w:t>
      </w:r>
    </w:p>
    <w:p>
      <w:pPr>
        <w:spacing w:after="80" w:line="360" w:lineRule="auto"/>
        <w:ind w:left="420" w:firstLine="0"/>
        <w:jc w:val="both"/>
      </w:pPr>
      <w:r>
        <w:rPr>
          <w:rFonts w:ascii="Times New Roman" w:hAnsi="Times New Roman" w:eastAsia="宋体"/>
          <w:b w:val="0"/>
          <w:sz w:val="24"/>
        </w:rPr>
        <w:t>• 第5页｜原则巩固：王某肺大疱案（诱因结合亦不减责）</w:t>
      </w:r>
    </w:p>
    <w:p>
      <w:pPr>
        <w:spacing w:after="80" w:line="360" w:lineRule="auto"/>
        <w:ind w:left="420" w:firstLine="0"/>
        <w:jc w:val="both"/>
      </w:pPr>
      <w:r>
        <w:rPr>
          <w:rFonts w:ascii="Times New Roman" w:hAnsi="Times New Roman" w:eastAsia="宋体"/>
          <w:b w:val="0"/>
          <w:sz w:val="24"/>
        </w:rPr>
        <w:t>• 第6页｜例外一：过失相抵（胡某蜂场案／或组内其他过错减责案例）</w:t>
      </w:r>
    </w:p>
    <w:p>
      <w:pPr>
        <w:spacing w:after="80" w:line="360" w:lineRule="auto"/>
        <w:ind w:left="420" w:firstLine="0"/>
        <w:jc w:val="both"/>
      </w:pPr>
      <w:r>
        <w:rPr>
          <w:rFonts w:ascii="Times New Roman" w:hAnsi="Times New Roman" w:eastAsia="宋体"/>
          <w:b w:val="0"/>
          <w:sz w:val="24"/>
        </w:rPr>
        <w:t>• 第7页｜例外二：假设因果关系（理论＋绝症提前死亡的赔偿限缩逻辑）</w:t>
      </w:r>
    </w:p>
    <w:p>
      <w:pPr>
        <w:spacing w:after="80" w:line="360" w:lineRule="auto"/>
        <w:ind w:left="420" w:firstLine="0"/>
        <w:jc w:val="both"/>
      </w:pPr>
      <w:r>
        <w:rPr>
          <w:rFonts w:ascii="Times New Roman" w:hAnsi="Times New Roman" w:eastAsia="宋体"/>
          <w:b w:val="0"/>
          <w:sz w:val="24"/>
        </w:rPr>
        <w:t>• 第8页｜对比表＋基本结论</w:t>
      </w:r>
    </w:p>
    <w:p>
      <w:pPr>
        <w:spacing w:before="280" w:after="160" w:line="360" w:lineRule="auto"/>
        <w:ind w:firstLine="0"/>
        <w:jc w:val="left"/>
      </w:pPr>
      <w:r>
        <w:rPr>
          <w:rFonts w:ascii="Times New Roman" w:hAnsi="Times New Roman" w:eastAsia="黑体"/>
          <w:b/>
          <w:sz w:val="32"/>
        </w:rPr>
        <w:t>附录：主要规范与参考文献</w:t>
      </w:r>
    </w:p>
    <w:p>
      <w:pPr>
        <w:spacing w:before="0" w:after="80" w:line="360" w:lineRule="auto"/>
        <w:jc w:val="both"/>
      </w:pPr>
      <w:r>
        <w:rPr>
          <w:rFonts w:ascii="Times New Roman" w:hAnsi="Times New Roman" w:eastAsia="黑体"/>
          <w:b/>
          <w:sz w:val="24"/>
        </w:rPr>
        <w:t>规范：</w:t>
      </w:r>
    </w:p>
    <w:p>
      <w:pPr>
        <w:spacing w:after="80" w:line="360" w:lineRule="auto"/>
        <w:ind w:left="420" w:firstLine="0"/>
        <w:jc w:val="both"/>
      </w:pPr>
      <w:r>
        <w:rPr>
          <w:rFonts w:ascii="Times New Roman" w:hAnsi="Times New Roman" w:eastAsia="宋体"/>
          <w:b w:val="0"/>
          <w:sz w:val="24"/>
        </w:rPr>
        <w:t>• 《中华人民共和国民法典》第1165条、第1173条、第1245条</w:t>
      </w:r>
    </w:p>
    <w:p>
      <w:pPr>
        <w:spacing w:after="80" w:line="360" w:lineRule="auto"/>
        <w:ind w:left="420" w:firstLine="0"/>
        <w:jc w:val="both"/>
      </w:pPr>
      <w:r>
        <w:rPr>
          <w:rFonts w:ascii="Times New Roman" w:hAnsi="Times New Roman" w:eastAsia="宋体"/>
          <w:b w:val="0"/>
          <w:sz w:val="24"/>
        </w:rPr>
        <w:t>• 《中华人民共和国道路交通安全法》第76条</w:t>
      </w:r>
    </w:p>
    <w:p>
      <w:pPr>
        <w:spacing w:after="80" w:line="360" w:lineRule="auto"/>
        <w:ind w:left="420" w:firstLine="0"/>
        <w:jc w:val="both"/>
      </w:pPr>
      <w:r>
        <w:rPr>
          <w:rFonts w:ascii="Times New Roman" w:hAnsi="Times New Roman" w:eastAsia="宋体"/>
          <w:b w:val="0"/>
          <w:sz w:val="24"/>
        </w:rPr>
        <w:t>• 最高人民法院指导案例24号（2014年1月26日发布）</w:t>
      </w:r>
    </w:p>
    <w:p>
      <w:pPr>
        <w:spacing w:before="0" w:after="80" w:line="360" w:lineRule="auto"/>
        <w:jc w:val="both"/>
      </w:pPr>
      <w:r>
        <w:rPr>
          <w:rFonts w:ascii="Times New Roman" w:hAnsi="Times New Roman" w:eastAsia="黑体"/>
          <w:b/>
          <w:sz w:val="24"/>
        </w:rPr>
        <w:t>文献与案例来源：</w:t>
      </w:r>
    </w:p>
    <w:p>
      <w:pPr>
        <w:spacing w:after="80" w:line="360" w:lineRule="auto"/>
        <w:ind w:left="420" w:firstLine="0"/>
        <w:jc w:val="both"/>
      </w:pPr>
      <w:r>
        <w:rPr>
          <w:rFonts w:ascii="Times New Roman" w:hAnsi="Times New Roman" w:eastAsia="宋体"/>
          <w:b w:val="0"/>
          <w:sz w:val="24"/>
        </w:rPr>
        <w:t>• 程啸：《受害人特殊体质与损害赔偿责任的减轻——最高人民法院第24号指导案例评析》，《法学研究》2018年第1期</w:t>
      </w:r>
    </w:p>
    <w:p>
      <w:pPr>
        <w:spacing w:after="80" w:line="360" w:lineRule="auto"/>
        <w:ind w:left="420" w:firstLine="0"/>
        <w:jc w:val="both"/>
      </w:pPr>
      <w:r>
        <w:rPr>
          <w:rFonts w:ascii="Times New Roman" w:hAnsi="Times New Roman" w:eastAsia="宋体"/>
          <w:b w:val="0"/>
          <w:sz w:val="24"/>
        </w:rPr>
        <w:t>• 最高人民法院案例指导工作办公室：《〈荣宝英案〉的理解与参照》，《人民司法》2015年第12期</w:t>
      </w:r>
    </w:p>
    <w:p>
      <w:pPr>
        <w:spacing w:after="80" w:line="360" w:lineRule="auto"/>
        <w:ind w:left="420" w:firstLine="0"/>
        <w:jc w:val="both"/>
      </w:pPr>
      <w:r>
        <w:rPr>
          <w:rFonts w:ascii="Times New Roman" w:hAnsi="Times New Roman" w:eastAsia="宋体"/>
          <w:b w:val="0"/>
          <w:sz w:val="24"/>
        </w:rPr>
        <w:t>• 蒙阴县人民法院胡某蜂蜇死亡案报道：《法治日报》2024年12月8日</w:t>
      </w:r>
    </w:p>
    <w:p>
      <w:pPr>
        <w:spacing w:after="80" w:line="360" w:lineRule="auto"/>
        <w:ind w:left="420" w:firstLine="0"/>
        <w:jc w:val="both"/>
      </w:pPr>
      <w:r>
        <w:rPr>
          <w:rFonts w:ascii="Times New Roman" w:hAnsi="Times New Roman" w:eastAsia="宋体"/>
          <w:b w:val="0"/>
          <w:sz w:val="24"/>
        </w:rPr>
        <w:t>• 宛城区人民法院王某、张某健康权纠纷案例（法院公开案例）</w:t>
      </w:r>
    </w:p>
    <w:p>
      <w:pPr>
        <w:spacing w:before="360" w:after="120" w:line="360" w:lineRule="auto"/>
        <w:jc w:val="center"/>
      </w:pPr>
      <w:r>
        <w:rPr>
          <w:rFonts w:ascii="Times New Roman" w:hAnsi="Times New Roman" w:eastAsia="仿宋"/>
          <w:b w:val="0"/>
          <w:sz w:val="22"/>
        </w:rPr>
        <w:t>——全文完——</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