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4013F">
      <w:pPr>
        <w:spacing w:before="480" w:after="480" w:line="288" w:lineRule="auto"/>
        <w:ind w:left="0"/>
      </w:pPr>
      <w:bookmarkStart w:id="25" w:name="_GoBack"/>
      <w:r>
        <w:rPr>
          <w:rFonts w:ascii="Arial" w:hAnsi="Arial" w:eastAsia="等线" w:cs="Arial"/>
          <w:b/>
          <w:sz w:val="52"/>
        </w:rPr>
        <w:t>障碍物膨胀预测系统全流程数学解析</w:t>
      </w:r>
    </w:p>
    <w:p w14:paraId="7FD24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针对四段关联代码（数据集制作、模型搭建与训练、模型预测、move_base集成），系统梳理各环节核心数学过程，涵盖坐标变换、半径计算、特征提取、代价地图生成等关键逻辑，明确数学公式与代码实现的对应关系。</w:t>
      </w:r>
    </w:p>
    <w:p w14:paraId="60BBC74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一、数据集制作代码：障碍物膨胀数据生成与关联</w:t>
      </w:r>
      <w:bookmarkEnd w:id="0"/>
    </w:p>
    <w:p w14:paraId="039294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核心功能：基于激光雷达、里程计数据生成BEV图、障碍物膨胀标签图，计算连续化膨胀半径，关联速度、角度等数据并保存为JSON。数学过程围绕“坐标变换”和“动态膨胀半径计算”展开。</w:t>
      </w:r>
    </w:p>
    <w:p w14:paraId="029E12D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核心参数定义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8308B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2BC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符号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30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物理意义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0D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代码参数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A5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取值</w:t>
            </w:r>
          </w:p>
        </w:tc>
      </w:tr>
      <w:tr w14:paraId="36057D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14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$r_{base}$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477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基础膨胀半径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28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r_base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C9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0.4 m</w:t>
            </w:r>
          </w:p>
        </w:tc>
      </w:tr>
      <w:tr w14:paraId="3C7187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49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$v_{max}$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4A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速度饱和阈值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0CE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v_max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71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1.0 m/s</w:t>
            </w:r>
          </w:p>
        </w:tc>
      </w:tr>
      <w:tr w14:paraId="40C72B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F37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$\theta_{max}$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8A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朝向影响最大角度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657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theta_max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BA4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$\pi/2$ 弧度（90°）</w:t>
            </w:r>
          </w:p>
        </w:tc>
      </w:tr>
      <w:tr w14:paraId="1E5E7C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FEF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$\text{RES}$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47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像素分辨率（米/像素）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F9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RESOLUTION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24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0.05 m/px</w:t>
            </w:r>
          </w:p>
        </w:tc>
      </w:tr>
      <w:tr w14:paraId="3FAFFA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64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$S_{map}$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99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BEV图物理尺寸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828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MAP_SIZE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9C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10.0 m</w:t>
            </w:r>
          </w:p>
        </w:tc>
      </w:tr>
      <w:tr w14:paraId="08C7EC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CB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$N_{pix}$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B4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BEV图像素尺寸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A4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MAP_PIXELS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0F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$S_{map}/\text{RES}=200$ px</w:t>
            </w:r>
          </w:p>
        </w:tc>
      </w:tr>
    </w:tbl>
    <w:p w14:paraId="5FA9F777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激光雷达数据到BEV坐标的变换</w:t>
      </w:r>
      <w:bookmarkEnd w:id="2"/>
    </w:p>
    <w:p w14:paraId="2F886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将激光雷达获取的极坐标障碍物数据，转换为BEV图像的像素坐标，核心是“极坐标→笛卡尔坐标→图像坐标”的两步变换。</w:t>
      </w:r>
    </w:p>
    <w:p w14:paraId="4932262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极坐标到机器人局部笛卡尔坐标</w:t>
      </w:r>
      <w:r>
        <w:rPr>
          <w:rFonts w:ascii="Arial" w:hAnsi="Arial" w:eastAsia="等线" w:cs="Arial"/>
          <w:sz w:val="22"/>
        </w:rPr>
        <w:t>：激光雷达输出障碍物的距离$r$和角度$\alpha$（相对于激光雷达坐标系），转换为机器人局部坐标系（$x_{local}$：前向，$y_{local}$：侧向）：</w:t>
      </w:r>
    </w:p>
    <w:p w14:paraId="38DEBEB2">
      <w:pPr>
        <w:numPr>
          <w:numId w:val="0"/>
        </w:numPr>
        <w:spacing w:before="120" w:after="120" w:line="288" w:lineRule="auto"/>
        <w:jc w:val="left"/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plcHide m:val="1"/>
                  <m:ctrlPr>
                    <w:rPr>
                      <w:rFonts w:hint="default"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local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</w:rPr>
                      <m:t>=r⋅</m:t>
                    </m:r>
                    <m:func>
                      <m:funcPr>
                        <m:ctrlPr>
                          <w:rPr>
                            <w:rFonts w:hint="default"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</w:rPr>
                          <m:t>local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</w:rPr>
                      <m:t>=r⋅</m:t>
                    </m:r>
                    <m:func>
                      <m:funcPr>
                        <m:ctrlPr>
                          <w:rPr>
                            <w:rFonts w:hint="default"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sin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α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</w:rPr>
              </m:ctrlPr>
            </m:e>
          </m:d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注：仅保留有效数据（</w:t>
      </w:r>
      <m:oMathPara>
        <m:oMath>
          <m:sSub>
            <m:sSubPr>
              <m:ctrlPr>
                <w:rPr>
                  <w:rFonts w:hint="default" w:ascii="Cambria Math" w:hAnsi="Cambria Math" w:eastAsia="等线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2"/>
                </w:rPr>
                <m:t>r</m:t>
              </m:r>
              <m:ctrlPr>
                <w:rPr>
                  <w:rFonts w:ascii="Cambria Math" w:hAnsi="Cambria Math" w:eastAsia="等线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等线"/>
                  <w:sz w:val="22"/>
                </w:rPr>
                <m:t>min</m:t>
              </m:r>
              <m:ctrlPr>
                <w:rPr>
                  <w:rFonts w:ascii="Cambria Math" w:hAnsi="Cambria Math" w:eastAsia="等线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等线"/>
              <w:sz w:val="22"/>
            </w:rPr>
            <m:t>&lt;r&lt;</m:t>
          </m:r>
          <m:sSub>
            <m:sSubPr>
              <m:ctrlPr>
                <w:rPr>
                  <w:rFonts w:hint="default" w:ascii="Cambria Math" w:hAnsi="Cambria Math" w:eastAsia="等线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2"/>
                </w:rPr>
                <m:t>r</m:t>
              </m:r>
              <m:ctrlPr>
                <w:rPr>
                  <w:rFonts w:ascii="Cambria Math" w:hAnsi="Cambria Math" w:eastAsia="等线"/>
                  <w:sz w:val="22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等线"/>
                  <w:sz w:val="22"/>
                </w:rPr>
                <m:t>max</m:t>
              </m:r>
              <m:ctrlPr>
                <w:rPr>
                  <w:rFonts w:ascii="Cambria Math" w:hAnsi="Cambria Math" w:eastAsia="等线"/>
                  <w:sz w:val="22"/>
                </w:rPr>
              </m:ctrlPr>
            </m:sub>
          </m:sSub>
        </m:oMath>
      </m:oMathPara>
      <w:r>
        <w:rPr>
          <w:rFonts w:ascii="Arial" w:hAnsi="Arial" w:eastAsia="等线" w:cs="Arial"/>
          <w:sz w:val="22"/>
        </w:rPr>
        <w:t>），对应代码中`valid_mask`逻辑。</w:t>
      </w:r>
    </w:p>
    <w:p w14:paraId="25842ED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机器人局部坐标到BEV像素坐标</w:t>
      </w:r>
      <w:r>
        <w:rPr>
          <w:rFonts w:ascii="Arial" w:hAnsi="Arial" w:eastAsia="等线" w:cs="Arial"/>
          <w:sz w:val="22"/>
        </w:rPr>
        <w:t>：BEV图以机器人为中心，像素原点在左上角，需进行坐标平移和翻转（图像$y$轴与物理$y$轴反向）：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</w:rPr>
                    <m:t>px=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center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local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RES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</w:rPr>
                    <m:t>py=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center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−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local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</w:rPr>
                        <m:t>RES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</w:p>
    <w:p w14:paraId="28CE34F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</w:t>
      </w:r>
      <m:oMathPara>
        <m:oMath>
          <m:sSub>
            <m:sSubPr>
              <m:ctrlPr>
                <w:rPr>
                  <w:rFonts w:hint="default" w:ascii="Cambria Math" w:hAnsi="Cambria Math" w:eastAsia="等线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2"/>
                </w:rPr>
                <m:t>center</m:t>
              </m:r>
              <m:ctrlPr>
                <w:rPr>
                  <w:rFonts w:ascii="Cambria Math" w:hAnsi="Cambria Math" w:eastAsia="等线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2"/>
                </w:rPr>
                <m:t>x</m:t>
              </m:r>
              <m:ctrlPr>
                <w:rPr>
                  <w:rFonts w:ascii="Cambria Math" w:hAnsi="Cambria Math" w:eastAsia="等线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等线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等线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2"/>
                </w:rPr>
                <m:t>center</m:t>
              </m:r>
              <m:ctrlPr>
                <w:rPr>
                  <w:rFonts w:ascii="Cambria Math" w:hAnsi="Cambria Math" w:eastAsia="等线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2"/>
                </w:rPr>
                <m:t>y</m:t>
              </m:r>
              <m:ctrlPr>
                <w:rPr>
                  <w:rFonts w:ascii="Cambria Math" w:hAnsi="Cambria Math" w:eastAsia="等线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等线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 w:eastAsia="等线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2"/>
                </w:rPr>
                <m:t>N</m:t>
              </m:r>
              <m:ctrlPr>
                <w:rPr>
                  <w:rFonts w:ascii="Cambria Math" w:hAnsi="Cambria Math" w:eastAsia="等线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2"/>
                </w:rPr>
                <m:t>pix</m:t>
              </m:r>
              <m:ctrlPr>
                <w:rPr>
                  <w:rFonts w:ascii="Cambria Math" w:hAnsi="Cambria Math" w:eastAsia="等线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等线"/>
              <w:sz w:val="22"/>
            </w:rPr>
            <m:t>/2=100</m:t>
          </m:r>
        </m:oMath>
      </m:oMathPara>
      <w:r>
        <w:rPr>
          <w:rFonts w:ascii="Arial" w:hAnsi="Arial" w:eastAsia="等线" w:cs="Arial"/>
          <w:sz w:val="22"/>
        </w:rPr>
        <w:t xml:space="preserve"> px（BEV图中心点），$px, py$为最终像素坐标，对应代码中`px`和`py`的计算。</w:t>
      </w:r>
    </w:p>
    <w:p w14:paraId="7592327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完全连续的膨胀半径计算</w:t>
      </w:r>
      <w:bookmarkEnd w:id="3"/>
    </w:p>
    <w:p w14:paraId="5D5249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膨胀半径由“基础半径+速度因子+方向因子”决定，通过连续函数实现平滑调整，无分段截断，对应代码中`speed_factor`和`direction_factor`函数。</w:t>
      </w:r>
    </w:p>
    <w:p w14:paraId="7C3C0F6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速度因子（</w:t>
      </w:r>
      <m:oMathPara>
        <m:oMath>
          <m:sSub>
            <m:sSubPr>
              <m:ctrlPr>
                <w:rPr>
                  <w:rFonts w:hint="default" w:ascii="Cambria Math" w:hAnsi="Cambria Math" w:eastAsia="等线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等线"/>
                  <w:sz w:val="22"/>
                </w:rPr>
                <m:t>f</m:t>
              </m:r>
              <m:ctrlPr>
                <w:rPr>
                  <w:rFonts w:ascii="Cambria Math" w:hAnsi="Cambria Math" w:eastAsia="等线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等线"/>
                  <w:sz w:val="22"/>
                </w:rPr>
                <m:t>v</m:t>
              </m:r>
              <m:ctrlPr>
                <w:rPr>
                  <w:rFonts w:ascii="Cambria Math" w:hAnsi="Cambria Math" w:eastAsia="等线"/>
                  <w:sz w:val="22"/>
                </w:rPr>
              </m:ctrlPr>
            </m:sub>
          </m:sSub>
        </m:oMath>
      </m:oMathPara>
      <w:r>
        <w:rPr>
          <w:rFonts w:ascii="Arial" w:hAnsi="Arial" w:eastAsia="等线" w:cs="Arial"/>
          <w:b/>
          <w:sz w:val="22"/>
        </w:rPr>
        <w:t>）</w:t>
      </w:r>
      <w:r>
        <w:rPr>
          <w:rFonts w:ascii="Arial" w:hAnsi="Arial" w:eastAsia="等线" w:cs="Arial"/>
          <w:sz w:val="22"/>
        </w:rPr>
        <w:t>：基于tanh函数实现速度对半径的平滑饱和影响，速度越大，膨胀半径越大，超过$v_{max}$后趋于稳定：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(v)=1.0+0.3⋅</m:t>
        </m:r>
        <m:func>
          <m:funcPr>
            <m:ctrlPr>
              <w:rPr>
                <w:rFonts w:hint="default"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</w:rPr>
              <m:t>tanh</m:t>
            </m:r>
            <m:ctrlPr>
              <w:rPr>
                <w:rFonts w:ascii="Cambria Math" w:hAnsi="Cambria Math"/>
              </w:rPr>
            </m:ctrlPr>
          </m:fName>
          <m:e>
            <m:d>
              <m:dPr>
                <m:ctrlPr>
                  <w:rPr>
                    <w:rFonts w:hint="default"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den>
                </m:f>
                <m:ctrlPr>
                  <w:rPr>
                    <w:rFonts w:hint="default" w:ascii="Cambria Math" w:hAnsi="Cambria Math"/>
                    <w:i/>
                  </w:rPr>
                </m:ctrlPr>
              </m:e>
            </m:d>
            <m:ctrlPr>
              <w:rPr>
                <w:rFonts w:hint="default" w:ascii="Cambria Math" w:hAnsi="Cambria Math"/>
                <w:i/>
              </w:rPr>
            </m:ctrlPr>
          </m:e>
        </m:func>
      </m:oMath>
      <w:r>
        <w:rPr>
          <w:rFonts w:ascii="Arial" w:hAnsi="Arial" w:eastAsia="等线" w:cs="Arial"/>
          <w:sz w:val="22"/>
        </w:rPr>
        <w:t>参数说明：$v$为机器人前进速度（取非负，$v \geq 0$），$\tanh$函数值域$[-1,1]$，故$f_v(v) \in [0.7, 1.3]$，对应代码中`max(0.0, linear_x)`和tanh计算。</w:t>
      </w:r>
    </w:p>
    <w:p w14:paraId="29F0BDE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方向因子（$g_\theta$）</w:t>
      </w:r>
      <w:r>
        <w:rPr>
          <w:rFonts w:ascii="Arial" w:hAnsi="Arial" w:eastAsia="等线" w:cs="Arial"/>
          <w:sz w:val="22"/>
        </w:rPr>
        <w:t>：基于余弦函数，障碍物与机器人正前方夹角越小，膨胀半径越大，实现自然过渡：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首先计算障碍物与机器人朝向的最小夹角$\Delta\theta$（归一化到$[0, \pi]$）：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θ=</m:t>
        </m:r>
        <m:d>
          <m:dPr>
            <m:begChr m:val="|"/>
            <m:endChr m:val="|"/>
            <m:ctrlPr>
              <w:rPr>
                <w:rFonts w:hint="default"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hint="default"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/>
                  </w:rPr>
                  <m:t>arctan</m:t>
                </m:r>
                <m:ctrlPr>
                  <w:rPr>
                    <w:rFonts w:ascii="Cambria Math" w:hAnsi="Cambria Math"/>
                  </w:rPr>
                </m:ctrlPr>
              </m:fName>
              <m:e>
                <m:r>
                  <m:rPr/>
                  <w:rPr>
                    <w:rFonts w:hint="default"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e>
            </m:func>
            <m:d>
              <m:dPr>
                <m:ctrlPr>
                  <w:rPr>
                    <w:rFonts w:hint="default"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hint="default"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sin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</w:rPr>
                      <m:t>(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/>
                  </w:rPr>
                  <m:t>α−yaw),</m:t>
                </m:r>
                <m:func>
                  <m:funcPr>
                    <m:ctrlPr>
                      <w:rPr>
                        <w:rFonts w:hint="default"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cos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</w:rPr>
                      <m:t>(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/>
                  </w:rPr>
                  <m:t>α−yaw)</m:t>
                </m:r>
                <m:ctrlPr>
                  <w:rPr>
                    <w:rFonts w:hint="default" w:ascii="Cambria Math" w:hAnsi="Cambria Math"/>
                  </w:rPr>
                </m:ctrlPr>
              </m:e>
            </m:d>
            <m:ctrlPr>
              <w:rPr>
                <w:rFonts w:hint="default" w:ascii="Cambria Math" w:hAnsi="Cambria Math"/>
                <w:i/>
              </w:rPr>
            </m:ctrlPr>
          </m:e>
        </m:d>
      </m:oMath>
      <w:r>
        <w:rPr>
          <w:rFonts w:ascii="Arial" w:hAnsi="Arial" w:eastAsia="等线" w:cs="Arial"/>
          <w:sz w:val="22"/>
        </w:rPr>
        <w:t>其中$\text{yaw}$为机器人航向角。方向因子公式：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</m:t>
        </m:r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θ)=0.9+0.3⋅</m:t>
        </m:r>
        <m:func>
          <m:funcPr>
            <m:ctrlPr>
              <w:rPr>
                <w:rFonts w:hint="default"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</w:rPr>
              <m:t>cos</m:t>
            </m:r>
            <m:ctrlPr>
              <w:rPr>
                <w:rFonts w:ascii="Cambria Math" w:hAnsi="Cambria Math"/>
              </w:rPr>
            </m:ctrlPr>
          </m:fName>
          <m:e>
            <m:d>
              <m:dPr>
                <m:ctrlPr>
                  <w:rPr>
                    <w:rFonts w:hint="default"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/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Δ</m:t>
                    </m:r>
                    <m:r>
                      <m:rPr/>
                      <w:rPr>
                        <w:rFonts w:hint="default" w:ascii="Cambria Math" w:hAnsi="Cambria Math"/>
                      </w:rPr>
                      <m:t>θ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</w:rPr>
                          <m:t>θ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</w:rPr>
                          <m:t>max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</w:rPr>
                  <m:t>⋅π</m:t>
                </m:r>
                <m:ctrlPr>
                  <w:rPr>
                    <w:rFonts w:hint="default" w:ascii="Cambria Math" w:hAnsi="Cambria Math"/>
                    <w:i/>
                  </w:rPr>
                </m:ctrlPr>
              </m:e>
            </m:d>
            <m:ctrlPr>
              <w:rPr>
                <w:rFonts w:hint="default" w:ascii="Cambria Math" w:hAnsi="Cambria Math"/>
                <w:i/>
              </w:rPr>
            </m:ctrlPr>
          </m:e>
        </m:func>
      </m:oMath>
      <w:r>
        <w:rPr>
          <w:rFonts w:ascii="Arial" w:hAnsi="Arial" w:eastAsia="等线" w:cs="Arial"/>
          <w:sz w:val="22"/>
        </w:rPr>
        <w:t>参数说明：$\Delta\theta \leq \theta_{max}$时，$\cos$项$\in [-1,1]$，$g_\theta \in [0.6, 1.2]$；$\Delta\theta &gt; \theta_{max}$时，$\cos$项$\leq -1$，$g_\theta \leq 0.6$，对应代码中`angle_diffs`和`direction_factor`计算。</w:t>
      </w:r>
    </w:p>
    <w:p w14:paraId="4505288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最终膨胀半径</w:t>
      </w:r>
      <w:r>
        <w:rPr>
          <w:rFonts w:ascii="Arial" w:hAnsi="Arial" w:eastAsia="等线" w:cs="Arial"/>
          <w:sz w:val="22"/>
        </w:rPr>
        <w:t>：三者乘积得到完全连续的半径值：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final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base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⋅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(v)⋅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</m:t>
        </m:r>
        <m:r>
          <m:rPr>
            <m:sty m:val="p"/>
          </m:rPr>
          <w:rPr>
            <w:rFonts w:hint="default" w:ascii="Cambria Math" w:hAnsi="Cambria Math"/>
          </w:rPr>
          <m:t>Δ</m:t>
        </m:r>
        <m:r>
          <m:rPr/>
          <w:rPr>
            <w:rFonts w:hint="default" w:ascii="Cambria Math" w:hAnsi="Cambria Math"/>
          </w:rPr>
          <m:t>θ)</m:t>
        </m:r>
      </m:oMath>
    </w:p>
    <w:p w14:paraId="78D63F3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像素级膨胀半径：$r_{pix} = r_{final} / \text{RES}$，对应代码中`radius_pixel`的计算。</w:t>
      </w:r>
    </w:p>
    <w:p w14:paraId="144AC06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1.4 数据关联与存储</w:t>
      </w:r>
      <w:bookmarkEnd w:id="4"/>
    </w:p>
    <w:p w14:paraId="79BE41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每个样本关联“BEV图路径、标签图路径、速度、障碍物角度”，其中障碍物角度为$\Delta\theta$（归一化前），保存为JSON格式，对应代码中`_record_sample`函数。</w:t>
      </w:r>
    </w:p>
    <w:p w14:paraId="7BB4DAB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二、模型搭建与训练代码：CustomBEVNet数学原理</w:t>
      </w:r>
      <w:bookmarkEnd w:id="5"/>
    </w:p>
    <w:p w14:paraId="211F1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核心功能：构建基于动态卷积和跨模态融合的网络，以BEV图、角度图、速度为输入，预测障碍物膨胀区域，通过BCE-Dice损失优化。数学过程涵盖网络结构、前向传播、损失计算与评估。</w:t>
      </w:r>
    </w:p>
    <w:p w14:paraId="2F42D60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输入数据预处理数学表达</w:t>
      </w:r>
      <w:bookmarkEnd w:id="6"/>
    </w:p>
    <w:p w14:paraId="5D1F39A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BEV图归一化</w:t>
      </w:r>
      <w:r>
        <w:rPr>
          <w:rFonts w:ascii="Arial" w:hAnsi="Arial" w:eastAsia="等线" w:cs="Arial"/>
          <w:sz w:val="22"/>
        </w:rPr>
        <w:t>：将8位灰度图（0~255）缩放到[0,1]：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BEV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hint="default" w:ascii="Cambria Math" w:hAnsi="Cambria Math"/>
              </w:rPr>
              <m:t>norm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hint="default" w:ascii="Cambria Math" w:hAnsi="Cambria Math"/>
          </w:rPr>
          <m:t>(i,j)=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BEV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hint="default" w:ascii="Cambria Math" w:hAnsi="Cambria Math"/>
              </w:rPr>
              <m:t>(i,j)</m:t>
            </m:r>
            <m:ctrlPr>
              <w:rPr>
                <w:rFonts w:hint="default"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255.0</m:t>
            </m:r>
            <m:ctrlPr>
              <w:rPr>
                <w:rFonts w:hint="default" w:ascii="Cambria Math" w:hAnsi="Cambria Math"/>
              </w:rPr>
            </m:ctrlPr>
          </m:den>
        </m:f>
      </m:oMath>
      <w:r>
        <w:rPr>
          <w:rFonts w:ascii="Arial" w:hAnsi="Arial" w:eastAsia="等线" w:cs="Arial"/>
          <w:sz w:val="22"/>
        </w:rPr>
        <w:t>对应代码中`bev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_img = cv2.imread(...) / 255.0`。</w:t>
      </w:r>
    </w:p>
    <w:p w14:paraId="456A45E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角度图生成</w:t>
      </w:r>
      <w:r>
        <w:rPr>
          <w:rFonts w:ascii="Arial" w:hAnsi="Arial" w:eastAsia="等线" w:cs="Arial"/>
          <w:sz w:val="22"/>
        </w:rPr>
        <w:t>：将障碍物角度$\Delta\theta$归一化到[0,1]，填充到与BEV图同尺寸的角度图中：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norm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/>
              </w:rPr>
              <m:t>Δ</m:t>
            </m:r>
            <m:r>
              <m:rPr/>
              <w:rPr>
                <w:rFonts w:hint="default"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π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hint="default" w:ascii="Cambria Math" w:hAnsi="Cambria Math"/>
          </w:rPr>
          <m:t>, 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(i,j)=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norm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[k]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 xml:space="preserve">若 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BEV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</w:rPr>
                        <m:t>norm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</w:rPr>
                    <m:t>(i,j)&gt;0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其他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  <w:r>
        <w:rPr>
          <w:rFonts w:ascii="Arial" w:hAnsi="Arial" w:eastAsia="等线" w:cs="Arial"/>
          <w:sz w:val="22"/>
        </w:rPr>
        <w:t>对应代码中`angle_map`的生成逻辑。</w:t>
      </w:r>
    </w:p>
    <w:p w14:paraId="1ABE775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速度归一化</w:t>
      </w:r>
      <w:r>
        <w:rPr>
          <w:rFonts w:ascii="Arial" w:hAnsi="Arial" w:eastAsia="等线" w:cs="Arial"/>
          <w:sz w:val="22"/>
        </w:rPr>
        <w:t>：将速度裁剪到[0,5] m/s后缩放到[0,1]：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v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norm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clip(v,0,5.0)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5.0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Arial" w:hAnsi="Arial" w:eastAsia="等线" w:cs="Arial"/>
          <w:sz w:val="22"/>
        </w:rPr>
        <w:t>对应代码中`speed = np.clip(...) / 5.0`。</w:t>
      </w:r>
    </w:p>
    <w:p w14:paraId="67E8E87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水平翻转增强</w:t>
      </w:r>
      <w:r>
        <w:rPr>
          <w:rFonts w:ascii="Arial" w:hAnsi="Arial" w:eastAsia="等线" w:cs="Arial"/>
          <w:sz w:val="22"/>
        </w:rPr>
        <w:t>：以50%概率翻转BEV图、角度图、标签图，角度图需调整（方向反转）：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Sup>
          <m:sSubSupPr>
            <m:ctrlPr>
              <w:rPr>
                <w:rFonts w:hint="default" w:ascii="Cambria Math" w:hAnsi="Cambria Math"/>
              </w:rPr>
            </m:ctrlPr>
          </m:sSubSupPr>
          <m:e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θ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hint="default" w:ascii="Cambria Math" w:hAnsi="Cambria Math"/>
              </w:rPr>
              <m:t>flip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hint="default" w:ascii="Cambria Math" w:hAnsi="Cambria Math"/>
          </w:rPr>
          <m:t>(i,j)=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</w:rPr>
                    <m:t>1.0−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(i,W−1−j)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 xml:space="preserve">若 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θ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(i,W−1−j)&gt;0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其他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  <w:r>
        <w:rPr>
          <w:rFonts w:ascii="Arial" w:hAnsi="Arial" w:eastAsia="等线" w:cs="Arial"/>
          <w:sz w:val="22"/>
        </w:rPr>
        <w:t>其中$W=200$为图像宽度，对应代码中`random_flip`函数。</w:t>
      </w:r>
    </w:p>
    <w:p w14:paraId="57BD0135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核心网络模块数学过程</w:t>
      </w:r>
      <w:bookmarkEnd w:id="7"/>
    </w:p>
    <w:p w14:paraId="2F6EA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网络输入为$I_{BEV}^{norm}(1×200×200)$、$I_\theta(1×200×200)$、$v_{norm}(1)$，输出为膨胀区域概率图$P(1×200×200)$（值域[0,1]）。</w:t>
      </w:r>
    </w:p>
    <w:p w14:paraId="7D1E2196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2.2.1 动态卷积块（DynamicConvBlock）</w:t>
      </w:r>
      <w:bookmarkEnd w:id="8"/>
    </w:p>
    <w:p w14:paraId="624CF5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自适应生成卷积核，避免固定核泛化性不足，对应代码中`DynamicConvBlock`类。</w:t>
      </w:r>
    </w:p>
    <w:p w14:paraId="2AF1A8E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全局特征提取</w:t>
      </w:r>
      <w:r>
        <w:rPr>
          <w:rFonts w:ascii="Arial" w:hAnsi="Arial" w:eastAsia="等线" w:cs="Arial"/>
          <w:sz w:val="22"/>
        </w:rPr>
        <w:t>：对输入特征图$X(B×C_{in}×H×W)$做全局平均池化，得到全局特征$X_{gap}(B×C_{in}×1×1)$：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gap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(b,c)=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H</m:t>
            </m:r>
            <m:r>
              <m:rPr>
                <m:sty m:val="p"/>
              </m:rPr>
              <w:rPr>
                <w:rFonts w:hint="default" w:ascii="Cambria Math" w:hAnsi="Cambria Math"/>
              </w:rPr>
              <m:t>×</m:t>
            </m:r>
            <m:r>
              <m:rPr/>
              <w:rPr>
                <w:rFonts w:hint="default"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/>
                <w:i/>
              </w:rPr>
            </m:ctrlPr>
          </m:naryPr>
          <m:sub>
            <m:r>
              <m:rPr/>
              <w:rPr>
                <w:rFonts w:hint="default" w:ascii="Cambria Math" w:hAnsi="Cambria Math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hint="default"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/>
                    <w:i/>
                  </w:rPr>
                </m:ctrlPr>
              </m:naryPr>
              <m:sub>
                <m:r>
                  <m:rPr/>
                  <w:rPr>
                    <w:rFonts w:hint="default" w:ascii="Cambria Math" w:hAnsi="Cambria Math"/>
                  </w:rPr>
                  <m:t>j=1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</w:rPr>
                  <m:t>W</m:t>
                </m:r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hint="default"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hint="default" w:ascii="Cambria Math" w:hAnsi="Cambria Math"/>
                <w:i/>
              </w:rPr>
            </m:ctrlPr>
          </m:e>
        </m:nary>
        <m:r>
          <m:rPr/>
          <w:rPr>
            <w:rFonts w:hint="default" w:ascii="Cambria Math" w:hAnsi="Cambria Math"/>
          </w:rPr>
          <m:t>(b,c,i,j)</m:t>
        </m:r>
      </m:oMath>
      <w:r>
        <w:rPr>
          <w:rFonts w:ascii="Arial" w:hAnsi="Arial" w:eastAsia="等线" w:cs="Arial"/>
          <w:sz w:val="22"/>
        </w:rPr>
        <w:t>其中$b \in [1,B]$（批量索引），$c \in [1,C_{in}]$（通道索引），对应代码中`AdaptiveAvgPool2d(1)`。</w:t>
      </w:r>
    </w:p>
    <w:p w14:paraId="76BD26C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动态卷积核生成</w:t>
      </w:r>
      <w:r>
        <w:rPr>
          <w:rFonts w:ascii="Arial" w:hAnsi="Arial" w:eastAsia="等线" w:cs="Arial"/>
          <w:sz w:val="22"/>
        </w:rPr>
        <w:t>：通过两层卷积将$X_{gap}$映射为卷积核参数$K(B×C_{out}×C_{in}×k×k)$（$k=3$为卷积核尺寸）：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r>
          <m:rPr>
            <m:sty m:val="p"/>
          </m:rPr>
          <w:rPr>
            <w:rFonts w:ascii="Cambria Math" w:hAnsi="Cambria Math"/>
          </w:rPr>
          <m:t>$
        K_{raw} = \text{Conv2d}(\text{ReLU}(\text{Conv2d}(X_{gap}, W_1+b_1)), W_2+b_2)
        $
</m:t>
        </m:r>
      </m:oMath>
      <w:r>
        <w:rPr>
          <w:rFonts w:ascii="Arial" w:hAnsi="Arial" w:eastAsia="等线" w:cs="Arial"/>
          <w:sz w:val="22"/>
        </w:rPr>
        <w:t>其中第一层卷积输出通道数为$\max(C_{in}/2,1)$，$K_{raw}$经reshape得到最终卷积核$K$，对应代码中`kernel_generator`和`view`操作。</w:t>
      </w:r>
    </w:p>
    <w:p w14:paraId="0256EC9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动态分组卷积</w:t>
      </w:r>
      <w:r>
        <w:rPr>
          <w:rFonts w:ascii="Arial" w:hAnsi="Arial" w:eastAsia="等线" w:cs="Arial"/>
          <w:sz w:val="22"/>
        </w:rPr>
        <w:t>：以批量大小$B$为分组数，每个样本用专属卷积核处理：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r>
          <m:rPr/>
          <w:rPr>
            <w:rFonts w:hint="default" w:ascii="Cambria Math" w:hAnsi="Cambria Math"/>
          </w:rPr>
          <m:t>Y=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Conv2d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groups=B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reshape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K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reshape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repeat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其中$X_{reshape}(1×B×C_{in}×H×W)$、$K_{reshape}(B×C_{out}×C_{in}×k×k)$，输出$Y$经reshape恢复为$B×C_{out}×H×W$，对应代码中`conv2d`的`groups=B`参数。</w:t>
      </w:r>
    </w:p>
    <w:p w14:paraId="3A0D2152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2.2.2 跨模态融合模块（CrossModalFusion）</w:t>
      </w:r>
      <w:bookmarkEnd w:id="9"/>
    </w:p>
    <w:p w14:paraId="4B4B84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融合BEV特征$F_{bev}$、角度特征$F_{angle}$、速度特征$v_{norm}$，通过门控机制动态平衡权重，对应代码中`CrossModalFusion`类。</w:t>
      </w:r>
    </w:p>
    <w:p w14:paraId="7393C43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速度特征升维</w:t>
      </w:r>
      <w:r>
        <w:rPr>
          <w:rFonts w:ascii="Arial" w:hAnsi="Arial" w:eastAsia="等线" w:cs="Arial"/>
          <w:sz w:val="22"/>
        </w:rPr>
        <w:t>：将1维速度特征升维至与图像特征同尺寸$F_v(B×C×H×W)$：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线性投影：$v_{proj}(B×C) = \text{ReLU}(W_v \cdot v_{norm} + b_v)$（$W_v \in \mathbb{R}^{C×1}$）维度广播：$F_v(b,c,i,j) = v_{proj}(b,c)$，对应代码中`unsqueeze`和`repeat`操作。</w:t>
      </w:r>
    </w:p>
    <w:p w14:paraId="34D93B7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门控权重计算</w:t>
      </w:r>
      <w:r>
        <w:rPr>
          <w:rFonts w:ascii="Arial" w:hAnsi="Arial" w:eastAsia="等线" w:cs="Arial"/>
          <w:sz w:val="22"/>
        </w:rPr>
        <w:t>：1×1卷积生成门控权重$g(B×C×H×W)$（值域[0,1]）：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r>
          <m:rPr>
            <m:sty m:val="p"/>
          </m:rPr>
          <w:rPr>
            <w:rFonts w:ascii="Cambria Math" w:hAnsi="Cambria Math"/>
          </w:rPr>
          <m:t>$
        g = \text{Sigmoid}(\text{Conv2d}([F_{bev}, F_{angle}, F_v], W_g + b_g))
        $
</m:t>
        </m:r>
      </m:oMath>
      <w:r>
        <w:rPr>
          <w:rFonts w:ascii="Arial" w:hAnsi="Arial" w:eastAsia="等线" w:cs="Arial"/>
          <w:sz w:val="22"/>
        </w:rPr>
        <w:t>其中$[·]$表示通道维度拼接，输出通道数为$C$，对应代码中`gate`模块。</w:t>
      </w:r>
    </w:p>
    <w:p w14:paraId="6B97AE5B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特征融合</w:t>
      </w:r>
      <w:r>
        <w:rPr>
          <w:rFonts w:ascii="Arial" w:hAnsi="Arial" w:eastAsia="等线" w:cs="Arial"/>
          <w:sz w:val="22"/>
        </w:rPr>
        <w:t>：门控权重平衡BEV与角度特征，叠加速度特征：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r>
          <m:rPr>
            <m:sty m:val="p"/>
          </m:rPr>
          <w:rPr>
            <w:rFonts w:ascii="Cambria Math" w:hAnsi="Cambria Math"/>
          </w:rPr>
          <m:t>$
        F_{fused} = g \cdot F_{bev} + (1−g) \cdot F_{angle} + F_v
        $
</m:t>
        </m:r>
      </m:oMath>
      <w:r>
        <w:rPr>
          <w:rFonts w:ascii="Arial" w:hAnsi="Arial" w:eastAsia="等线" w:cs="Arial"/>
          <w:sz w:val="22"/>
        </w:rPr>
        <w:t>其中$\cdot$为元素级乘法，对应代码中`fused = gate_weight * bev_feat + ...`。</w:t>
      </w:r>
    </w:p>
    <w:p w14:paraId="7BB1520C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2.2.3 渐进式解码器（ProgressiveDecoder）</w:t>
      </w:r>
      <w:bookmarkEnd w:id="10"/>
    </w:p>
    <w:p w14:paraId="6C7838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从深层到浅层融合编码器特征（分辨率50→100→200），恢复高分辨率输出，对应代码中`ProgressiveDecoder`类。</w:t>
      </w:r>
    </w:p>
    <w:p w14:paraId="1D755ED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特征尺度统一</w:t>
      </w:r>
      <w:r>
        <w:rPr>
          <w:rFonts w:ascii="Arial" w:hAnsi="Arial" w:eastAsia="等线" w:cs="Arial"/>
          <w:sz w:val="22"/>
        </w:rPr>
        <w:t>：1×1卷积将各尺度编码器特征通道数统一为$C_{out}=32$：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r>
          <m:rPr>
            <m:sty m:val="p"/>
          </m:rPr>
          <w:rPr>
            <w:rFonts w:ascii="Cambria Math" w:hAnsi="Cambria Math"/>
          </w:rPr>
          <m:t>$
        F_{enc}^i_{scale} = \text{Conv2d}(F_{enc}^i, W_{scale}^i + b_{scale}^i)
        $
</m:t>
        </m:r>
      </m:oMath>
      <w:r>
        <w:rPr>
          <w:rFonts w:ascii="Arial" w:hAnsi="Arial" w:eastAsia="等线" w:cs="Arial"/>
          <w:sz w:val="22"/>
        </w:rPr>
        <w:t>其中$F_{enc}^i$为第$i$个尺度特征（$i=0$：200×200，$i=2$：50×50），对应代码中`scale_convs`。</w:t>
      </w:r>
    </w:p>
    <w:p w14:paraId="68B9DBB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深层到浅层融合</w:t>
      </w:r>
      <w:r>
        <w:rPr>
          <w:rFonts w:ascii="Arial" w:hAnsi="Arial" w:eastAsia="等线" w:cs="Arial"/>
          <w:sz w:val="22"/>
        </w:rPr>
        <w:t>：以最深层（$i=2$）为初始输入，逐步融合浅层特征：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上采样：$X_{up} = \text{Interpolate}(X, \text{size}=F_{enc}^i\text{.shape}[2:])$（双线性插值）特征拼接：$X_{concat} = [X_{up}, F_{enc}^i_{scale}]$（通道数2×32）卷积融合与上采样：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r>
          <m:rPr>
            <m:sty m:val="p"/>
          </m:rPr>
          <w:rPr>
            <w:rFonts w:ascii="Cambria Math" w:hAnsi="Cambria Math"/>
          </w:rPr>
          <m:t>$
        X = \text{Upsample}(\text{ReLU}(\text{BatchNorm2d}(\text{Conv2d}(X_{concat}, W + b))), \text{scale}=2)
        $
</m:t>
        </m:r>
      </m:oMath>
      <w:r>
        <w:rPr>
          <w:rFonts w:ascii="Arial" w:hAnsi="Arial" w:eastAsia="等线" w:cs="Arial"/>
          <w:sz w:val="22"/>
        </w:rPr>
        <w:t>最终输出$X(B×32×200×200)$，对应代码中`forward`的循环逻辑。</w:t>
      </w:r>
    </w:p>
    <w:p w14:paraId="3DDA27EF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2.2.4 输出层与概率预测</w:t>
      </w:r>
      <w:bookmarkEnd w:id="11"/>
    </w:p>
    <w:p w14:paraId="403AD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将解码特征映射为二值预测概率图：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</w:t>
      </w:r>
      <m:oMath>
        <m:r>
          <m:rPr>
            <m:sty m:val="p"/>
          </m:rPr>
          <w:rPr>
            <w:rFonts w:ascii="Cambria Math" w:hAnsi="Cambria Math"/>
          </w:rPr>
          <m:t>$
    P = \text{Sigmoid}(\text{Conv2d}(\text{ReLU}(\text{Conv2d}(X, W_{o1}+b_{o1})), W_{o2}+b_{o2}))
    $
</m:t>
        </m:r>
      </m:oMath>
    </w:p>
    <w:p w14:paraId="728F2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其中第一层卷积输入32通道、输出16通道，第二层输入16通道、输出1通道，Sigmoid确保$P \in [0,1]$，对应代码中`out_layer`。</w:t>
      </w:r>
    </w:p>
    <w:p w14:paraId="401B4BB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2.3 损失计算与评估指标</w:t>
      </w:r>
      <w:bookmarkEnd w:id="12"/>
    </w:p>
    <w:p w14:paraId="6EBEF40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BCE-Dice混合损失</w:t>
      </w:r>
      <w:r>
        <w:rPr>
          <w:rFonts w:ascii="Arial" w:hAnsi="Arial" w:eastAsia="等线" w:cs="Arial"/>
          <w:sz w:val="22"/>
        </w:rPr>
        <w:t>：平衡分类损失与样本不平衡问题：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二元交叉熵（BCE）损失：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BCE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=−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/>
                <w:i/>
              </w:rPr>
            </m:ctrlPr>
          </m:naryPr>
          <m:sub>
            <m:r>
              <m:rPr/>
              <w:rPr>
                <w:rFonts w:hint="default" w:ascii="Cambria Math" w:hAnsi="Cambria Math"/>
              </w:rPr>
              <m:t>b,i,j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d>
              <m:dPr>
                <m:begChr m:val="["/>
                <m:endChr m:val="]"/>
                <m:ctrlPr>
                  <w:rPr>
                    <w:rFonts w:hint="default"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hint="default" w:ascii="Cambria Math" w:hAnsi="Cambria Math"/>
                  </w:rPr>
                  <m:t>Y(b,i,j)</m:t>
                </m:r>
                <m:func>
                  <m:funcPr>
                    <m:ctrlPr>
                      <w:rPr>
                        <w:rFonts w:hint="default"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/>
                  </w:rPr>
                  <m:t>(b,i,j)+(1−Y(b,i,j))</m:t>
                </m:r>
                <m:func>
                  <m:funcPr>
                    <m:ctrlPr>
                      <w:rPr>
                        <w:rFonts w:hint="default"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/>
                      </w:rPr>
                      <m:t>(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/>
                  </w:rPr>
                  <m:t>1−P(b,i,j))−</m:t>
                </m:r>
                <m:ctrlPr>
                  <w:rPr>
                    <w:rFonts w:hint="default" w:ascii="Cambria Math" w:hAnsi="Cambria Math"/>
                  </w:rPr>
                </m:ctrlPr>
              </m:e>
            </m:d>
            <m:ctrlPr>
              <w:rPr>
                <w:rFonts w:hint="default" w:ascii="Cambria Math" w:hAnsi="Cambria Math"/>
                <w:i/>
              </w:rPr>
            </m:ctrlPr>
          </m:e>
        </m:nary>
      </m:oMath>
      <w:r>
        <w:rPr>
          <w:rFonts w:ascii="Arial" w:hAnsi="Arial" w:eastAsia="等线" w:cs="Arial"/>
          <w:sz w:val="22"/>
        </w:rPr>
        <w:t>Dice损失：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Dice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=1−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2</m:t>
            </m:r>
            <m:nary>
              <m:naryPr>
                <m:chr m:val="∑"/>
                <m:limLoc m:val="undOvr"/>
                <m:supHide m:val="1"/>
                <m:ctrlPr>
                  <w:rPr>
                    <w:rFonts w:hint="default" w:ascii="Cambria Math" w:hAnsi="Cambria Math"/>
                    <w:i/>
                  </w:rPr>
                </m:ctrlPr>
              </m:naryPr>
              <m:sub>
                <m:r>
                  <m:rPr/>
                  <w:rPr>
                    <w:rFonts w:hint="default" w:ascii="Cambria Math" w:hAnsi="Cambria Math"/>
                  </w:rPr>
                  <m:t>b,i,j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hint="default"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nary>
            <m:r>
              <m:rPr/>
              <w:rPr>
                <w:rFonts w:hint="default" w:ascii="Cambria Math" w:hAnsi="Cambria Math"/>
              </w:rPr>
              <m:t>(b,i,j)P(b,i,j)+ϵ</m:t>
            </m:r>
            <m:ctrlPr>
              <w:rPr>
                <w:rFonts w:hint="default" w:ascii="Cambria Math" w:hAnsi="Cambria Math"/>
                <w:i/>
              </w:rPr>
            </m:ctrlPr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default" w:ascii="Cambria Math" w:hAnsi="Cambria Math"/>
                    <w:i/>
                  </w:rPr>
                </m:ctrlPr>
              </m:naryPr>
              <m:sub>
                <m:ctrlPr>
                  <w:rPr>
                    <w:rFonts w:ascii="Cambria Math" w:hAnsi="Cambria Math"/>
                  </w:rPr>
                </m:ctrlPr>
              </m:sub>
              <m:sup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hint="default"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</m:nary>
            <m:r>
              <m:rPr/>
              <w:rPr>
                <w:rFonts w:hint="default" w:ascii="Cambria Math" w:hAnsi="Cambria Math"/>
              </w:rPr>
              <m:t>+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default" w:ascii="Cambria Math" w:hAnsi="Cambria Math"/>
                    <w:i/>
                  </w:rPr>
                </m:ctrlPr>
              </m:naryPr>
              <m:sub>
                <m:ctrlPr>
                  <w:rPr>
                    <w:rFonts w:ascii="Cambria Math" w:hAnsi="Cambria Math"/>
                  </w:rPr>
                </m:ctrlPr>
              </m:sub>
              <m:sup>
                <m:ctrlPr>
                  <w:rPr>
                    <w:rFonts w:ascii="Cambria Math" w:hAnsi="Cambria Math"/>
                  </w:rPr>
                </m:ctrlPr>
              </m:sup>
              <m:e>
                <m:r>
                  <m:rPr/>
                  <w:rPr>
                    <w:rFonts w:hint="default" w:ascii="Cambria Math" w:hAnsi="Cambria Math"/>
                  </w:rPr>
                  <m:t>P</m:t>
                </m:r>
                <m:ctrlPr>
                  <w:rPr>
                    <w:rFonts w:ascii="Cambria Math" w:hAnsi="Cambria Math"/>
                  </w:rPr>
                </m:ctrlPr>
              </m:e>
            </m:nary>
            <m:r>
              <m:rPr/>
              <w:rPr>
                <w:rFonts w:hint="default" w:ascii="Cambria Math" w:hAnsi="Cambria Math"/>
              </w:rPr>
              <m:t>+ϵ</m:t>
            </m:r>
            <m:ctrlPr>
              <w:rPr>
                <w:rFonts w:hint="default" w:ascii="Cambria Math" w:hAnsi="Cambria Math"/>
                <w:i/>
              </w:rPr>
            </m:ctrlPr>
          </m:den>
        </m:f>
      </m:oMath>
      <w:r>
        <w:rPr>
          <w:rFonts w:ascii="Arial" w:hAnsi="Arial" w:eastAsia="等线" w:cs="Arial"/>
          <w:sz w:val="22"/>
        </w:rPr>
        <w:t>混合损失：$L_{total} = 0.5L_{BCE} + 0.5L_{Dice}$，$\epsilon=1e-5$防止分母为0，对应代码中`bce_dice_loss`函数。</w:t>
      </w:r>
    </w:p>
    <w:p w14:paraId="1520975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评估指标</w:t>
      </w:r>
      <w:r>
        <w:rPr>
          <w:rFonts w:ascii="Arial" w:hAnsi="Arial" w:eastAsia="等线" w:cs="Arial"/>
          <w:sz w:val="22"/>
        </w:rPr>
        <w:t>：基于混淆矩阵（TP真阳性、FP假阳性、FN假阴性、TN真阴性）计算：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指标公式代码对应交并比（IoU）</w:t>
      </w:r>
      <m:oMath>
        <m:r>
          <m:rPr/>
          <w:rPr>
            <w:rFonts w:hint="default" w:ascii="Cambria Math" w:hAnsi="Cambria Math"/>
          </w:rPr>
          <m:t>IoU=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TP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TP+FP+FN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Arial" w:hAnsi="Arial" w:eastAsia="等线" w:cs="Arial"/>
          <w:sz w:val="22"/>
        </w:rPr>
        <w:t>calculate_metricsDice系数</w:t>
      </w:r>
      <m:oMath>
        <m:r>
          <m:rPr/>
          <w:rPr>
            <w:rFonts w:hint="default" w:ascii="Cambria Math" w:hAnsi="Cambria Math"/>
          </w:rPr>
          <m:t>Dice=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2TP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2TP+FP+FN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Arial" w:hAnsi="Arial" w:eastAsia="等线" w:cs="Arial"/>
          <w:sz w:val="22"/>
        </w:rPr>
        <w:t>calculate_metrics准确率（Acc）</w:t>
      </w:r>
      <m:oMath>
        <m:r>
          <m:rPr/>
          <w:rPr>
            <w:rFonts w:hint="default" w:ascii="Cambria Math" w:hAnsi="Cambria Math"/>
          </w:rPr>
          <m:t>Acc=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r>
              <m:rPr/>
              <w:rPr>
                <w:rFonts w:hint="default" w:ascii="Cambria Math" w:hAnsi="Cambria Math"/>
              </w:rPr>
              <m:t>TP+TN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TP+TN+FP+FN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rFonts w:ascii="Arial" w:hAnsi="Arial" w:eastAsia="等线" w:cs="Arial"/>
          <w:sz w:val="22"/>
        </w:rPr>
        <w:t>calculate_metrics</w:t>
      </w:r>
    </w:p>
    <w:p w14:paraId="62177BF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三、模型预测代码：推理与指标计算数学过程</w:t>
      </w:r>
      <w:bookmarkEnd w:id="13"/>
    </w:p>
    <w:p w14:paraId="78725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核心功能：加载训练好的模型，接收ROS话题中的BEV图和标签图，输出预测结果和评估指标，对应“预测节点”代码。</w:t>
      </w:r>
    </w:p>
    <w:p w14:paraId="3708ACFB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3.1 输入图像预处理</w:t>
      </w:r>
      <w:bookmarkEnd w:id="14"/>
    </w:p>
    <w:p w14:paraId="045E9A7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ROS图像到OpenCV格式转换</w:t>
      </w:r>
      <w:r>
        <w:rPr>
          <w:rFonts w:ascii="Arial" w:hAnsi="Arial" w:eastAsia="等线" w:cs="Arial"/>
          <w:sz w:val="22"/>
        </w:rPr>
        <w:t>：将sensor_msgs/Image消息转换为BGR8格式，再转为灰度图：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gray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(i,j)=0.299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B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(i,j)+0.587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G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(i,j)+0.114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R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(i,j)</m:t>
        </m:r>
      </m:oMath>
      <w:r>
        <w:rPr>
          <w:rFonts w:ascii="Arial" w:hAnsi="Arial" w:eastAsia="等线" w:cs="Arial"/>
          <w:sz w:val="22"/>
        </w:rPr>
        <w:t>其中$I_B,I_G,I_R$为BGR通道值，对应代码中`cv2.cvtColor(bev_img, cv2.COLOR_BGR2GRAY)`。</w:t>
      </w:r>
    </w:p>
    <w:p w14:paraId="082F6366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模型输入张量生成</w:t>
      </w:r>
      <w:r>
        <w:rPr>
          <w:rFonts w:ascii="Arial" w:hAnsi="Arial" w:eastAsia="等线" w:cs="Arial"/>
          <w:sz w:val="22"/>
        </w:rPr>
        <w:t>：归一化后扩展维度，适配模型输入（B×1×200×200）：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input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=unsqueeze(tensor(</m:t>
        </m:r>
        <m:f>
          <m:fPr>
            <m:ctrlPr>
              <w:rPr>
                <w:rFonts w:hint="default"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gray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num>
          <m:den>
            <m:r>
              <m:rPr/>
              <w:rPr>
                <w:rFonts w:hint="default" w:ascii="Cambria Math" w:hAnsi="Cambria Math"/>
              </w:rPr>
              <m:t>255.0</m:t>
            </m:r>
            <m:ctrlPr>
              <w:rPr>
                <w:rFonts w:hint="default" w:ascii="Cambria Math" w:hAnsi="Cambria Math"/>
              </w:rPr>
            </m:ctrlPr>
          </m:den>
        </m:f>
        <m:r>
          <m:rPr/>
          <w:rPr>
            <w:rFonts w:hint="default" w:ascii="Cambria Math" w:hAnsi="Cambria Math"/>
          </w:rPr>
          <m:t>),0,0)</m:t>
        </m:r>
      </m:oMath>
      <w:r>
        <w:rPr>
          <w:rFonts w:ascii="Arial" w:hAnsi="Arial" w:eastAsia="等线" w:cs="Arial"/>
          <w:sz w:val="22"/>
        </w:rPr>
        <w:t>对应代码中`input_tensor = torch.tensor(...)`的维度调整。</w:t>
      </w:r>
    </w:p>
    <w:p w14:paraId="1D46974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3.2 模型推理与结果处理</w:t>
      </w:r>
      <w:bookmarkEnd w:id="15"/>
    </w:p>
    <w:p w14:paraId="5676CAC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概率预测</w:t>
      </w:r>
      <w:r>
        <w:rPr>
          <w:rFonts w:ascii="Arial" w:hAnsi="Arial" w:eastAsia="等线" w:cs="Arial"/>
          <w:sz w:val="22"/>
        </w:rPr>
        <w:t>：模型输出$P(1×1×200×200)$，对应代码中`model(input_tensor)`。</w:t>
      </w:r>
    </w:p>
    <w:p w14:paraId="7195A545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二值化与可视化</w:t>
      </w:r>
      <w:r>
        <w:rPr>
          <w:rFonts w:ascii="Arial" w:hAnsi="Arial" w:eastAsia="等线" w:cs="Arial"/>
          <w:sz w:val="22"/>
        </w:rPr>
        <w:t>：按阈值$\tau=0.5$生成二值掩码，预测热力图通过颜色映射生成：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bin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(i,j)=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</w:rPr>
                    <m:t>P(i,j)&gt;τ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其他</m:t>
                  </m:r>
                  <m:ctrlPr>
                    <w:rPr>
                      <w:rFonts w:ascii="Cambria Math" w:hAnsi="Cambria Math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  <w:r>
        <w:rPr>
          <w:rFonts w:ascii="Arial" w:hAnsi="Arial" w:eastAsia="等线" w:cs="Arial"/>
          <w:sz w:val="22"/>
        </w:rPr>
        <w:t>热力图：$I_{heat}(i,j) = \text{COLORMAP}(P(i,j)×255)$，对应代码中`cv2.applyColorMap`。</w:t>
      </w:r>
    </w:p>
    <w:p w14:paraId="5E3253DE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3.3 真实标签提取与指标计算</w:t>
      </w:r>
      <w:bookmarkEnd w:id="16"/>
    </w:p>
    <w:p w14:paraId="029483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真实标签为BEV标签图中的蓝色区域（B=255, G=0, R=0），提取掩码$Y_{true}$：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</w:t>
      </w:r>
      <m:oMath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true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(i,j)=</m:t>
        </m:r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B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(i,j)=255∧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G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(i,j)=0∧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R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(i,j)=0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</w:rPr>
                    <m:t>0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</w:rPr>
                    <m:t>其他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</w:p>
    <w:p w14:paraId="7C81C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基于$P_{bin}$和$Y_{true}$计算IoU、Acc等指标，与训练阶段一致，对应代码中`calculate_metrics`函数。</w:t>
      </w:r>
    </w:p>
    <w:p w14:paraId="4492E7A8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四、move_base集成代码：代价地图生成与坐标变换</w:t>
      </w:r>
      <w:bookmarkEnd w:id="17"/>
    </w:p>
    <w:p w14:paraId="146C3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核心功能：将预测的单通道BEV图转换为move_base兼容的局部代价地图，通过坐标变换实现机器人坐标系与地图坐标系的匹配，对应“代价地图集成节点”代码。</w:t>
      </w:r>
    </w:p>
    <w:p w14:paraId="3501C1A8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4.1 核心参数与坐标定义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797A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F6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符号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69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物理意义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AD7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代码参数</w:t>
            </w:r>
          </w:p>
        </w:tc>
      </w:tr>
      <w:tr w14:paraId="3742EF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418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$\text{RES}_{cm}$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6A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代价地图分辨率（米/像素）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54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resolution</w:t>
            </w:r>
          </w:p>
        </w:tc>
      </w:tr>
      <w:tr w14:paraId="6D3ADD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A7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$S_{cm}$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76A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局部代价地图物理尺寸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0A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map_size</w:t>
            </w:r>
          </w:p>
        </w:tc>
      </w:tr>
      <w:tr w14:paraId="19D7D3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03C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$N_{cm}$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6D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代价地图像素尺寸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55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map_pixels = S_cm/RES_cm</w:t>
            </w:r>
          </w:p>
        </w:tc>
      </w:tr>
      <w:tr w14:paraId="2556C8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A1E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$(x_r, y_r, \text{yaw}_r)$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F27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机器人在地图坐标系的位姿</w:t>
            </w:r>
          </w:p>
        </w:tc>
        <w:tc>
          <w:tcPr>
            <w:tcW w:w="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72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get_robot_pose()</w:t>
            </w:r>
          </w:p>
        </w:tc>
      </w:tr>
    </w:tbl>
    <w:p w14:paraId="049D63DE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4.2 关键数学过程：坐标变换与代价计算</w:t>
      </w:r>
      <w:bookmarkEnd w:id="19"/>
    </w:p>
    <w:p w14:paraId="77BD8E16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4.2.1 BEV图到机器人局部坐标系的变换（逆时针旋转90°）</w:t>
      </w:r>
      <w:bookmarkEnd w:id="20"/>
    </w:p>
    <w:p w14:paraId="236BCF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BEV图像坐标系（$u$：水平向右，$v$：垂直向下）与机器人局部坐标系（$x_l$：前向，$y_l$：左向）存在90°逆时针旋转关系，变换过程如下：</w:t>
      </w:r>
    </w:p>
    <w:p w14:paraId="7D0F593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BEV像素坐标到局部物理坐标</w:t>
      </w:r>
      <w:r>
        <w:rPr>
          <w:rFonts w:ascii="Arial" w:hAnsi="Arial" w:eastAsia="等线" w:cs="Arial"/>
          <w:sz w:val="22"/>
        </w:rPr>
        <w:t>：以BEV图中心为原点，计算障碍物相对机器人的局部坐标：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bev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=(u−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center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)⋅RES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bev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=(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center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−v)⋅RES</m:t>
                  </m:r>
                  <m:ctrlPr>
                    <w:rPr>
                      <w:rFonts w:hint="default" w:ascii="Cambria Math" w:hAnsi="Cambria Math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  <w:r>
        <w:rPr>
          <w:rFonts w:ascii="Arial" w:hAnsi="Arial" w:eastAsia="等线" w:cs="Arial"/>
          <w:sz w:val="22"/>
        </w:rPr>
        <w:t>其中$\text{center}_u = \text{center}_v = N_{cm}/2$，$dx_{bev}$：BEV图右向偏移，$dy_{bev}$：BEV图上向偏移。</w:t>
      </w:r>
    </w:p>
    <w:p w14:paraId="6F90325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逆时针旋转90°映射到机器人局部坐标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=d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bev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=d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bev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  <w:r>
        <w:rPr>
          <w:rFonts w:ascii="Arial" w:hAnsi="Arial" w:eastAsia="等线" w:cs="Arial"/>
          <w:sz w:val="22"/>
        </w:rPr>
        <w:t>注：旋转矩阵为$\begin{bmatrix}0 &amp; 1 \\ -1 &amp; 0\end{bmatrix}$，结合BEV坐标特点简化为上述形式，实现“BEV右→机器人前，BEV上→机器人左”，对应代码中`local_forward = dx_pixel`和`local_left = dy_pixel`。</w:t>
      </w:r>
    </w:p>
    <w:p w14:paraId="4E86E881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4.2.2 机器人局部坐标到地图坐标系的变换</w:t>
      </w:r>
      <w:bookmarkEnd w:id="21"/>
    </w:p>
    <w:p w14:paraId="1A48D2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通过机器人航向角$\text{yaw}_r$将局部坐标旋转到地图坐标系（$x_m$：地图前向，$y_m$：地图左向），再叠加机器人位姿</w:t>
      </w:r>
      <w:r>
        <w:rPr>
          <w:rFonts w:hint="eastAsia" w:ascii="Arial" w:hAnsi="Arial" w:eastAsia="等线" w:cs="Arial"/>
          <w:sz w:val="22"/>
          <w:lang w:val="en-US" w:eastAsia="zh-CN"/>
        </w:rPr>
        <w:t>C</w:t>
      </w:r>
      <w:r>
        <w:rPr>
          <w:rFonts w:ascii="Arial" w:hAnsi="Arial" w:eastAsia="等线" w:cs="Arial"/>
          <w:sz w:val="22"/>
        </w:rPr>
        <w:t>得到世界坐标：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</w:t>
      </w: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yaw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sin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yaw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m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sin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yaw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⋅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</w:rPr>
                        <m:t>cos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fNam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yaw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</w:p>
    <w:p w14:paraId="53D7C7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世界坐标：$X_w = x_r + x_m$，$Y_w = y_r + y_m$，对应代码中`odom_x`和`odom_y`的计算。</w:t>
      </w:r>
    </w:p>
    <w:p w14:paraId="7D11167B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4.2.3 代价地图索引与代价计算</w:t>
      </w:r>
      <w:bookmarkEnd w:id="22"/>
    </w:p>
    <w:p w14:paraId="239E2477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世界坐标到代价地图像素索引</w:t>
      </w:r>
      <w:r>
        <w:rPr>
          <w:rFonts w:ascii="Arial" w:hAnsi="Arial" w:eastAsia="等线" w:cs="Arial"/>
          <w:sz w:val="22"/>
        </w:rPr>
        <w:t>：代价地图原点在左下角，计算障碍物对应的像素索引：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d>
          <m:dPr>
            <m:begChr m:val="{"/>
            <m:endChr m:val=""/>
            <m:ctrlPr>
              <w:rPr>
                <w:rFonts w:hint="default"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hint="default" w:ascii="Cambria Math" w:hAnsi="Cambria Math"/>
                    <w:i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/>
                    </w:rPr>
                    <m:t>id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</w:rPr>
                        <m:t>−(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cm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</w:rPr>
                        <m:t>/2)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RES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cm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/>
                    </w:rPr>
                    <m:t>id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hint="default"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</w:rPr>
                        <m:t>−(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cm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</w:rPr>
                        <m:t>/2)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RES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</w:rPr>
                            <m:t>cm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i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i/>
              </w:rPr>
            </m:ctrlPr>
          </m:e>
        </m:d>
      </m:oMath>
      <w:r>
        <w:rPr>
          <w:rFonts w:ascii="Arial" w:hAnsi="Arial" w:eastAsia="等线" w:cs="Arial"/>
          <w:sz w:val="22"/>
        </w:rPr>
        <w:t>其中$x_r - S_{cm}/2$和$y_r - S_{cm}/2$为代价地图左下角的世界坐标，对应代码中`idx_x`和`idx_y`的计算。</w:t>
      </w:r>
    </w:p>
    <w:p w14:paraId="47BAE4CD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代价数值映射</w:t>
      </w:r>
      <w:r>
        <w:rPr>
          <w:rFonts w:ascii="Arial" w:hAnsi="Arial" w:eastAsia="等线" w:cs="Arial"/>
          <w:sz w:val="22"/>
        </w:rPr>
        <w:t>：将预测图的置信度（0~255）映射为代价地图的代价（0~100，0：自由，100：占用）：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r>
          <m:rPr/>
          <w:rPr>
            <w:rFonts w:hint="default" w:ascii="Cambria Math" w:hAnsi="Cambria Math"/>
          </w:rPr>
          <m:t>$</m:t>
        </m:r>
        <m:r>
          <m:rPr>
            <m:sty m:val="p"/>
          </m:rPr>
          <w:rPr>
            <w:rFonts w:hint="default" w:ascii="Cambria Math" w:hAnsi="Cambria Math"/>
          </w:rPr>
          <m:t xml:space="preserve">         </m:t>
        </m:r>
        <m:r>
          <m:rPr/>
          <w:rPr>
            <w:rFonts w:hint="default" w:ascii="Cambria Math" w:hAnsi="Cambria Math"/>
          </w:rPr>
          <m:t>\text{cost}</m:t>
        </m:r>
        <m:r>
          <m:rPr>
            <m:sty m:val="p"/>
          </m:rPr>
          <w:rPr>
            <w:rFonts w:hint="default" w:ascii="Cambria Math" w:hAnsi="Cambria Math"/>
          </w:rPr>
          <m:t xml:space="preserve"> </m:t>
        </m:r>
        <m:r>
          <m:rPr/>
          <w:rPr>
            <w:rFonts w:hint="default" w:ascii="Cambria Math" w:hAnsi="Cambria Math"/>
          </w:rPr>
          <m:t>=</m:t>
        </m:r>
        <m:r>
          <m:rPr>
            <m:sty m:val="p"/>
          </m:rPr>
          <w:rPr>
            <w:rFonts w:hint="default" w:ascii="Cambria Math" w:hAnsi="Cambria Math"/>
          </w:rPr>
          <m:t xml:space="preserve"> </m:t>
        </m:r>
        <m:r>
          <m:rPr/>
          <w:rPr>
            <w:rFonts w:hint="default" w:ascii="Cambria Math" w:hAnsi="Cambria Math"/>
          </w:rPr>
          <m:t>\left\lfloor</m:t>
        </m:r>
        <m:r>
          <m:rPr>
            <m:sty m:val="p"/>
          </m:rPr>
          <w:rPr>
            <w:rFonts w:hint="default" w:ascii="Cambria Math" w:hAnsi="Cambria Math"/>
          </w:rPr>
          <m:t xml:space="preserve"> </m:t>
        </m:r>
        <m:r>
          <m:rPr/>
          <w:rPr>
            <w:rFonts w:hint="default" w:ascii="Cambria Math" w:hAnsi="Cambria Math"/>
          </w:rPr>
          <m:t>\frac{\text{confidence}}{255.0}</m:t>
        </m:r>
        <m:r>
          <m:rPr>
            <m:sty m:val="p"/>
          </m:rPr>
          <w:rPr>
            <w:rFonts w:hint="default" w:ascii="Cambria Math" w:hAnsi="Cambria Math"/>
          </w:rPr>
          <m:t xml:space="preserve"> </m:t>
        </m:r>
        <m:r>
          <m:rPr/>
          <w:rPr>
            <w:rFonts w:hint="default" w:ascii="Cambria Math" w:hAnsi="Cambria Math"/>
          </w:rPr>
          <m:t>\times</m:t>
        </m:r>
        <m:r>
          <m:rPr>
            <m:sty m:val="p"/>
          </m:rPr>
          <w:rPr>
            <w:rFonts w:hint="default" w:ascii="Cambria Math" w:hAnsi="Cambria Math"/>
          </w:rPr>
          <m:t xml:space="preserve"> </m:t>
        </m:r>
        <m:r>
          <m:rPr/>
          <w:rPr>
            <w:rFonts w:hint="default" w:ascii="Cambria Math" w:hAnsi="Cambria Math"/>
          </w:rPr>
          <m:t>100</m:t>
        </m:r>
        <m:r>
          <m:rPr>
            <m:sty m:val="p"/>
          </m:rPr>
          <w:rPr>
            <w:rFonts w:hint="default" w:ascii="Cambria Math" w:hAnsi="Cambria Math"/>
          </w:rPr>
          <m:t xml:space="preserve"> </m:t>
        </m:r>
        <m:r>
          <m:rPr/>
          <w:rPr>
            <w:rFonts w:hint="default" w:ascii="Cambria Math" w:hAnsi="Cambria Math"/>
          </w:rPr>
          <m:t>\right\rfloor</m:t>
        </m:r>
        <m:r>
          <m:rPr>
            <m:sty m:val="p"/>
          </m:rPr>
          <w:rPr>
            <w:rFonts w:hint="default" w:ascii="Cambria Math" w:hAnsi="Cambria Math"/>
          </w:rPr>
          <m:t xml:space="preserve">         </m:t>
        </m:r>
        <m:r>
          <m:rPr/>
          <w:rPr>
            <w:rFonts w:hint="default" w:ascii="Cambria Math" w:hAnsi="Cambria Math"/>
          </w:rPr>
          <m:t>$</m:t>
        </m:r>
        <m:r>
          <m:rPr>
            <m:sty m:val="p"/>
          </m:rPr>
          <w:rPr>
            <w:rFonts w:hint="default" w:ascii="Cambria Math" w:hAnsi="Cambria Math"/>
          </w:rPr>
          <m:t xml:space="preserve"> </m:t>
        </m:r>
      </m:oMath>
      <w:r>
        <w:rPr>
          <w:rFonts w:ascii="Arial" w:hAnsi="Arial" w:eastAsia="等线" w:cs="Arial"/>
          <w:sz w:val="22"/>
        </w:rPr>
        <w:t>对应代码中`valid_costs = (confidences[valid_mask] / 255.0 * 100).astype(np.int8)`。</w:t>
      </w:r>
    </w:p>
    <w:p w14:paraId="635E354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代价地图填充</w:t>
      </w:r>
      <w:r>
        <w:rPr>
          <w:rFonts w:ascii="Arial" w:hAnsi="Arial" w:eastAsia="等线" w:cs="Arial"/>
          <w:sz w:val="22"/>
        </w:rPr>
        <w:t>：对重叠像素取最大代价，未知区域设为0：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  <m:oMath>
        <m:r>
          <m:rPr/>
          <w:rPr>
            <w:rFonts w:hint="default" w:ascii="Cambria Math" w:hAnsi="Cambria Math"/>
          </w:rPr>
          <m:t>costmap(id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,id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)=</m:t>
        </m:r>
        <m:func>
          <m:funcPr>
            <m:ctrlPr>
              <w:rPr>
                <w:rFonts w:hint="default"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</w:rPr>
              <m:t>max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hint="default" w:ascii="Cambria Math" w:hAnsi="Cambria Math"/>
              </w:rPr>
              <m:t>(</m:t>
            </m:r>
            <m:ctrlPr>
              <w:rPr>
                <w:rFonts w:ascii="Cambria Math" w:hAnsi="Cambria Math"/>
              </w:rPr>
            </m:ctrlPr>
          </m:e>
        </m:func>
        <m:r>
          <m:rPr/>
          <w:rPr>
            <w:rFonts w:hint="default" w:ascii="Cambria Math" w:hAnsi="Cambria Math"/>
          </w:rPr>
          <m:t>costmap(id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,id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),cost)</m:t>
        </m:r>
      </m:oMath>
      <w:r>
        <w:rPr>
          <w:rFonts w:ascii="Arial" w:hAnsi="Arial" w:eastAsia="等线" w:cs="Arial"/>
          <w:sz w:val="22"/>
        </w:rPr>
        <w:t>对应代码中`np.maximum.at`操作。</w:t>
      </w:r>
    </w:p>
    <w:p w14:paraId="660B80A3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4.3 对move_base的影响</w:t>
      </w:r>
      <w:bookmarkEnd w:id="23"/>
    </w:p>
    <w:p w14:paraId="012E70B1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代价地图补充</w:t>
      </w:r>
      <w:r>
        <w:rPr>
          <w:rFonts w:ascii="Arial" w:hAnsi="Arial" w:eastAsia="等线" w:cs="Arial"/>
          <w:sz w:val="22"/>
        </w:rPr>
        <w:t>：生成的BEV代价图层（`/move_base/local_costmap/bev_layer/costmap`）作为move_base局部代价地图的一部分，提供障碍物膨胀区域的占用信息。</w:t>
      </w:r>
    </w:p>
    <w:p w14:paraId="0F23A58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路径规划约束</w:t>
      </w:r>
      <w:r>
        <w:rPr>
          <w:rFonts w:ascii="Arial" w:hAnsi="Arial" w:eastAsia="等线" w:cs="Arial"/>
          <w:sz w:val="22"/>
        </w:rPr>
        <w:t>：move_base的路径搜索算法（如Dijkstra、A*）会规避高代价区域（膨胀区域），确保机器人与障碍物保持安全距离，代价越高，路径绕行越远。</w:t>
      </w:r>
    </w:p>
    <w:p w14:paraId="19A2967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默认膨胀层禁用</w:t>
      </w:r>
      <w:r>
        <w:rPr>
          <w:rFonts w:ascii="Arial" w:hAnsi="Arial" w:eastAsia="等线" w:cs="Arial"/>
          <w:sz w:val="22"/>
        </w:rPr>
        <w:t>：代码中通过动态参数服务器将move_base默认膨胀层的`inflation_radius`设为0，避免重复膨胀，确保仅使用模型预测的动态膨胀区域，对应代码中`disable_default_inflation`函数。</w:t>
      </w:r>
    </w:p>
    <w:p w14:paraId="5BF1893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动态适应性</w:t>
      </w:r>
      <w:r>
        <w:rPr>
          <w:rFonts w:ascii="Arial" w:hAnsi="Arial" w:eastAsia="等线" w:cs="Arial"/>
          <w:sz w:val="22"/>
        </w:rPr>
        <w:t>：膨胀半径随机器人速度和障碍物方向动态调整，使move_base的路径规划更贴合实时场景（如高速时扩大安全距离，正前方障碍物膨胀更大）。</w:t>
      </w:r>
    </w:p>
    <w:p w14:paraId="7E4DEE87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五、全流程数学链路总结</w:t>
      </w:r>
      <w:bookmarkEnd w:id="24"/>
    </w:p>
    <w:p w14:paraId="4287A8B0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数据生成</w:t>
      </w:r>
      <w:r>
        <w:rPr>
          <w:rFonts w:ascii="Arial" w:hAnsi="Arial" w:eastAsia="等线" w:cs="Arial"/>
          <w:sz w:val="22"/>
        </w:rPr>
        <w:t>：激光雷达数据→坐标变换→BEV图→动态膨胀半径计算→标签图→JSON关联，核心是$r_{final} = r_{base} \cdot f_v \cdot g_\theta$。</w:t>
      </w:r>
    </w:p>
    <w:p w14:paraId="6EBE323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模型训练</w:t>
      </w:r>
      <w:r>
        <w:rPr>
          <w:rFonts w:ascii="Arial" w:hAnsi="Arial" w:eastAsia="等线" w:cs="Arial"/>
          <w:sz w:val="22"/>
        </w:rPr>
        <w:t>：数据预处理→动态卷积特征提取→跨模态融合→渐进式解码→概率预测→BCE-Dice损失优化，核心是动态卷积核生成和门控融合。</w:t>
      </w:r>
    </w:p>
    <w:p w14:paraId="2DCCDE5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模型预测</w:t>
      </w:r>
      <w:r>
        <w:rPr>
          <w:rFonts w:ascii="Arial" w:hAnsi="Arial" w:eastAsia="等线" w:cs="Arial"/>
          <w:sz w:val="22"/>
        </w:rPr>
        <w:t>：ROS图像→预处理→模型推理→二值化→指标计算，核心是$P_{bin} = \text{threshold}(P)$。</w:t>
      </w:r>
    </w:p>
    <w:p w14:paraId="5F168078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move_base集成</w:t>
      </w:r>
      <w:r>
        <w:rPr>
          <w:rFonts w:ascii="Arial" w:hAnsi="Arial" w:eastAsia="等线" w:cs="Arial"/>
          <w:sz w:val="22"/>
        </w:rPr>
        <w:t>：BEV坐标→机器人坐标→地图坐标→代价地图生成→路径规划约束，核心是坐标旋转变换和代价映射。</w:t>
      </w:r>
    </w:p>
    <w:p w14:paraId="1B3B4222">
      <w:pPr>
        <w:spacing w:before="120" w:after="120" w:line="288" w:lineRule="auto"/>
        <w:ind w:left="0"/>
        <w:jc w:val="left"/>
      </w:pPr>
    </w:p>
    <w:bookmarkEnd w:id="25"/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010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1C78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8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5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2"/>
  </w:num>
  <w:num w:numId="9">
    <w:abstractNumId w:val="15"/>
  </w:num>
  <w:num w:numId="10">
    <w:abstractNumId w:val="2"/>
  </w:num>
  <w:num w:numId="11">
    <w:abstractNumId w:val="21"/>
  </w:num>
  <w:num w:numId="12">
    <w:abstractNumId w:val="29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30"/>
  </w:num>
  <w:num w:numId="22">
    <w:abstractNumId w:val="17"/>
  </w:num>
  <w:num w:numId="23">
    <w:abstractNumId w:val="23"/>
  </w:num>
  <w:num w:numId="24">
    <w:abstractNumId w:val="5"/>
  </w:num>
  <w:num w:numId="25">
    <w:abstractNumId w:val="34"/>
  </w:num>
  <w:num w:numId="26">
    <w:abstractNumId w:val="33"/>
  </w:num>
  <w:num w:numId="27">
    <w:abstractNumId w:val="7"/>
  </w:num>
  <w:num w:numId="28">
    <w:abstractNumId w:val="31"/>
  </w:num>
  <w:num w:numId="29">
    <w:abstractNumId w:val="3"/>
  </w:num>
  <w:num w:numId="30">
    <w:abstractNumId w:val="22"/>
  </w:num>
  <w:num w:numId="31">
    <w:abstractNumId w:val="1"/>
  </w:num>
  <w:num w:numId="32">
    <w:abstractNumId w:val="27"/>
  </w:num>
  <w:num w:numId="33">
    <w:abstractNumId w:val="35"/>
  </w:num>
  <w:num w:numId="34">
    <w:abstractNumId w:val="0"/>
  </w:num>
  <w:num w:numId="35">
    <w:abstractNumId w:val="1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C8A5FBF"/>
    <w:rsid w:val="2F677E75"/>
    <w:rsid w:val="37A34A15"/>
    <w:rsid w:val="409C72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4035</Words>
  <Characters>9126</Characters>
  <TotalTime>152</TotalTime>
  <ScaleCrop>false</ScaleCrop>
  <LinksUpToDate>false</LinksUpToDate>
  <CharactersWithSpaces>10443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2025-11-20T06:56:00Z</dcterms:created>
  <dc:creator>Apache POI</dc:creator>
  <cp:lastModifiedBy>大钧</cp:lastModifiedBy>
  <dcterms:modified xsi:type="dcterms:W3CDTF">2025-11-20T09:30:15Z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eyJoZGlkIjoiZTE2Y2E3MDEzMmRkNDE1ZjkzODRiZTk0NWM2ZjBjZWMiLCJ1c2VySWQiOiI2MTA3NTY4OTQifQ==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85CE15B07D6347A8B9E1BD42B5DB3EE4_12</vt:lpwstr>
  </property>
</Properties>
</file>