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5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78"/>
        <w:gridCol w:w="4678"/>
      </w:tblGrid>
      <w:tr w14:paraId="4A3ACE7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E4D761D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СОГЛАСОВАНО</w:t>
            </w:r>
          </w:p>
          <w:p w14:paraId="4CF35E2A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Руководитель проекта</w:t>
            </w:r>
          </w:p>
          <w:p w14:paraId="22681F42">
            <w:pPr>
              <w:spacing w:after="60" w:line="276" w:lineRule="auto"/>
              <w:jc w:val="left"/>
            </w:pPr>
          </w:p>
          <w:p w14:paraId="6DC915DF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__________ / __________</w:t>
            </w:r>
          </w:p>
          <w:p w14:paraId="7BAD924C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«___» ____________ 2026 г.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AA5A1CE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УТВЕРЖДАЮ</w:t>
            </w:r>
          </w:p>
          <w:p w14:paraId="68301263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Представитель заказчика</w:t>
            </w:r>
          </w:p>
          <w:p w14:paraId="2AC1DB0A">
            <w:pPr>
              <w:spacing w:after="60" w:line="276" w:lineRule="auto"/>
              <w:jc w:val="left"/>
            </w:pPr>
          </w:p>
          <w:p w14:paraId="37A46C07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__________ / __________</w:t>
            </w:r>
          </w:p>
          <w:p w14:paraId="2123503D">
            <w:pPr>
              <w:spacing w:after="6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«___» ____________ 2026 г.</w:t>
            </w:r>
          </w:p>
        </w:tc>
      </w:tr>
    </w:tbl>
    <w:p w14:paraId="553BACCE">
      <w:pPr>
        <w:spacing w:before="2400" w:after="0" w:line="276" w:lineRule="auto"/>
        <w:jc w:val="center"/>
      </w:pPr>
    </w:p>
    <w:p w14:paraId="259905B4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ИНФОРМАЦИОННАЯ СИСТЕМА УПРАВЛЕНИЯ ЗАЯВКАМИ</w:t>
      </w:r>
    </w:p>
    <w:p w14:paraId="3A2CC886">
      <w:pPr>
        <w:spacing w:before="0" w:after="60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В СЕРВИСНЫЙ ЦЕНТР «СЕРВИСДЕСК»</w:t>
      </w:r>
    </w:p>
    <w:p w14:paraId="0BEADA1F">
      <w:pPr>
        <w:spacing w:before="0" w:after="200" w:line="276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ТЕХНИЧЕСКОЕ ЗАДАНИЕ</w:t>
      </w:r>
    </w:p>
    <w:p w14:paraId="7D307CB3">
      <w:pPr>
        <w:spacing w:before="0" w:after="2600" w:line="276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 создание информационной системы</w:t>
      </w:r>
    </w:p>
    <w:p w14:paraId="651257AB"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Исполнитель: студент группы 23П-1</w:t>
      </w:r>
    </w:p>
    <w:p w14:paraId="2EE5471F">
      <w:pPr>
        <w:spacing w:before="0" w:after="200" w:line="276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Баймуратов Данил Азатович</w:t>
      </w:r>
    </w:p>
    <w:p w14:paraId="48E09ED0">
      <w:pPr>
        <w:spacing w:before="0" w:after="2400" w:line="276" w:lineRule="auto"/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Проверил: ______________________</w:t>
      </w:r>
    </w:p>
    <w:p w14:paraId="3F3CFDB2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2026</w:t>
      </w:r>
    </w:p>
    <w:p w14:paraId="43452F8B">
      <w:pPr>
        <w:sectPr>
          <w:footerReference r:id="rId4" w:type="first"/>
          <w:footerReference r:id="rId3" w:type="default"/>
          <w:pgSz w:w="11906" w:h="16838"/>
          <w:pgMar w:top="1134" w:right="850" w:bottom="1134" w:left="1701" w:header="708" w:footer="708" w:gutter="0"/>
          <w:cols w:space="720" w:num="1"/>
          <w:titlePg/>
          <w:docGrid w:linePitch="360" w:charSpace="0"/>
        </w:sectPr>
      </w:pPr>
    </w:p>
    <w:p w14:paraId="347EACC9">
      <w:pPr>
        <w:spacing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СОДЕРЖАНИЕ</w:t>
      </w:r>
    </w:p>
    <w:sdt>
      <w:sdtPr>
        <w:alias w:val="Содержание"/>
        <w:id w:val="147467831"/>
      </w:sdtPr>
      <w:sdtContent>
        <w:p w14:paraId="082D2E9B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29402370">
          <w:r>
            <w:fldChar w:fldCharType="end"/>
          </w:r>
        </w:p>
      </w:sdtContent>
    </w:sdt>
    <w:p w14:paraId="0170D1A5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1 Общие положения</w:t>
      </w:r>
    </w:p>
    <w:p w14:paraId="243418EA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1.1 Наименование системы</w:t>
      </w:r>
    </w:p>
    <w:p w14:paraId="03DCC54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Полное наименование: «Информационная система управления заявками в сервисный центр». Условное обозначение — «СервисДеск» (далее — Система).</w:t>
      </w:r>
    </w:p>
    <w:p w14:paraId="42966B92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1.2 Основание для разработки</w:t>
      </w:r>
    </w:p>
    <w:p w14:paraId="2F5DAD5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Основанием для разработки является задание на выполнение учебного проекта, выданное студенту группы 23П-1, и описание информационной системы «СервисДеск», согласованное с руководителем проекта.</w:t>
      </w:r>
    </w:p>
    <w:p w14:paraId="29AA081D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1.3 Заказчик и исполнитель</w:t>
      </w:r>
    </w:p>
    <w:p w14:paraId="15A862C9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Заказчик — сервисный центр по ремонту бытовой и цифровой техники (условный заказчик учебного проекта).</w:t>
      </w:r>
    </w:p>
    <w:p w14:paraId="39F6F15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Исполнитель — Баймуратов Данил Азатович, студент группы 23П-1 (роль в проекте — Fullstack-разработчик).</w:t>
      </w:r>
    </w:p>
    <w:p w14:paraId="2FDC4A19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1.4 Плановые сроки работ</w:t>
      </w:r>
    </w:p>
    <w:p w14:paraId="4CFE1CB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Начало работ — 01.09.2026, окончание работ — 24.11.2026. Состав и сроки этапов приведены в разделе 7.</w:t>
      </w:r>
    </w:p>
    <w:p w14:paraId="3DA84E08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1.5 Цель создания</w:t>
      </w:r>
    </w:p>
    <w:p w14:paraId="23CAF99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Целью создания Системы является автоматизация работы сервисного центра на всём пути устройства: от приёма у клиента до выдачи отремонтированного изделия. Система должна обеспечить прослеживаемость каждой заявки на всех стадиях ремонта и исключить потерю информации при передаче устройства между сотрудниками.</w:t>
      </w:r>
    </w:p>
    <w:p w14:paraId="1B2729F3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1.6 Задачи системы</w:t>
      </w:r>
    </w:p>
    <w:p w14:paraId="3BF2FC29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Электронное оформление заявок, регистрация устройств с фиксацией неисправности, внешнего вида и комплектности.</w:t>
      </w:r>
    </w:p>
    <w:p w14:paraId="1CC9CBFC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Ведение жизненного цикла ремонта: диагностика, согласование стоимости с клиентом, статусы и журнал работ.</w:t>
      </w:r>
    </w:p>
    <w:p w14:paraId="7939E723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Учёт запчастей: остатки, резервирование под заявку, выдача мастерам и списание, инвентаризация.</w:t>
      </w:r>
    </w:p>
    <w:p w14:paraId="5E5BFF7B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Формирование сметы, квитанции о приёме, акта выполненных работ и акта выдачи, фиксация оплаты.</w:t>
      </w:r>
    </w:p>
    <w:p w14:paraId="6F6D836E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Предоставление клиенту личного кабинета для отслеживания статуса заявки в реальном времени.</w:t>
      </w:r>
    </w:p>
    <w:p w14:paraId="4E2B935E">
      <w:pPr>
        <w:pStyle w:val="16"/>
        <w:numPr>
          <w:ilvl w:val="0"/>
          <w:numId w:val="1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Разграничение прав доступа по ролям и хранение истории всех изменений заявки.</w:t>
      </w:r>
    </w:p>
    <w:p w14:paraId="5CB027AD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1.7 Термины и сокращения</w:t>
      </w:r>
    </w:p>
    <w:p w14:paraId="23541CBE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ИС — информационная система.</w:t>
      </w:r>
    </w:p>
    <w:p w14:paraId="4D90BF5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СЦ — сервисный центр.</w:t>
      </w:r>
    </w:p>
    <w:p w14:paraId="7245668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ЛК — личный кабинет клиента.</w:t>
      </w:r>
    </w:p>
    <w:p w14:paraId="5A2E2719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БД, СУБД — база данных, система управления базами данных.</w:t>
      </w:r>
    </w:p>
    <w:p w14:paraId="3D0790D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API — программный интерфейс приложения (Application Programming Interface).</w:t>
      </w:r>
    </w:p>
    <w:p w14:paraId="5FFF28A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REST — архитектурный стиль взаимодействия компонентов по протоколу HTTP.</w:t>
      </w:r>
    </w:p>
    <w:p w14:paraId="07E6D0C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JWT — JSON Web Token, подписанный токен для авторизации запросов.</w:t>
      </w:r>
    </w:p>
    <w:p w14:paraId="4F6D2F7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WPF — Windows Presentation Foundation, технология построения настольных приложений на платформе .NET.</w:t>
      </w:r>
    </w:p>
    <w:p w14:paraId="67C9564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SPA — одностраничное веб-приложение (Single Page Application).</w:t>
      </w:r>
    </w:p>
    <w:p w14:paraId="7F879F7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SignalR — библиотека двусторонней связи клиента и сервера в реальном времени (WebSocket).</w:t>
      </w:r>
    </w:p>
    <w:p w14:paraId="2C420CFC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Docker — платформа контейнеризации; Docker Compose — средство запуска многоконтейнерных приложений.</w:t>
      </w:r>
    </w:p>
    <w:p w14:paraId="02D3332C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Смета — перечень работ и запчастей с их стоимостью, согласуемый с клиентом до начала ремонта.</w:t>
      </w:r>
    </w:p>
    <w:p w14:paraId="49C2DCCD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2 Назначение и цели создания системы</w:t>
      </w:r>
    </w:p>
    <w:p w14:paraId="507DA96E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2.1 Назначение системы</w:t>
      </w:r>
    </w:p>
    <w:p w14:paraId="7BCB724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предназначена для комплексной автоматизации деятельности сервисного центра и обеспечивает работу клиентов, приёмщиков, мастеров и кладовщиков в едином информационном пространстве. Сотрудники работают в настольном приложении, клиенты — в веб-кабинете, доступном из браузера на компьютере и смартфоне.</w:t>
      </w:r>
    </w:p>
    <w:p w14:paraId="23B048B3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2.2 Целевые показатели эффективности</w:t>
      </w:r>
    </w:p>
    <w:p w14:paraId="0B0C5D2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время оформления новой заявки приёмщиком — не более 3 минут;</w:t>
      </w:r>
    </w:p>
    <w:p w14:paraId="3AC44FC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поиск заявки по номеру или телефону клиента — не более 2 секунд;</w:t>
      </w:r>
    </w:p>
    <w:p w14:paraId="5AAC2701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доставка изменения статуса заявки в личный кабинет клиента — не более 5 секунд;</w:t>
      </w:r>
    </w:p>
    <w:p w14:paraId="246229F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100 % смен статусов фиксируется в истории заявки с указанием сотрудника, даты и времени;</w:t>
      </w:r>
    </w:p>
    <w:p w14:paraId="7CFA093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сокращение телефонных обращений клиентов по поводу статуса ремонта не менее чем на 50 %;</w:t>
      </w:r>
    </w:p>
    <w:p w14:paraId="5F8D0443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автоматическое выявление расхождений складского учёта при инвентаризации.</w:t>
      </w:r>
    </w:p>
    <w:p w14:paraId="0E95855D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3 Характеристика объекта автоматизации</w:t>
      </w:r>
    </w:p>
    <w:p w14:paraId="615D8DA1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Объект автоматизации — сервисный центр по ремонту бытовой и цифровой техники: ноутбуков, смартфонов, планшетов, телевизоров, крупной бытовой техники.</w:t>
      </w:r>
    </w:p>
    <w:p w14:paraId="31218164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1 — Количественные характеристики объекта</w:t>
      </w:r>
    </w:p>
    <w:tbl>
      <w:tblPr>
        <w:tblStyle w:val="9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37"/>
        <w:gridCol w:w="3118"/>
      </w:tblGrid>
      <w:tr w14:paraId="0F12F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726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FEC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14:paraId="709C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858F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Пунктов приёма устройств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63A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</w:tr>
      <w:tr w14:paraId="70EA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7421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Рабочих мест приёмщиков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B77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2–3</w:t>
            </w:r>
          </w:p>
        </w:tc>
      </w:tr>
      <w:tr w14:paraId="0EA1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3831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Мастеров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454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 10</w:t>
            </w:r>
          </w:p>
        </w:tc>
      </w:tr>
      <w:tr w14:paraId="317BD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8FE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Кладовщиков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961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1–2</w:t>
            </w:r>
          </w:p>
        </w:tc>
      </w:tr>
      <w:tr w14:paraId="3CF4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E4F0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Новых заявок в день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939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 60</w:t>
            </w:r>
          </w:p>
        </w:tc>
      </w:tr>
      <w:tr w14:paraId="3D01D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FE7F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Заявок, одновременно находящихся в работе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A48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 500</w:t>
            </w:r>
          </w:p>
        </w:tc>
      </w:tr>
      <w:tr w14:paraId="0826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867B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Номенклатура запчастей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3507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 3 000 позиций</w:t>
            </w:r>
          </w:p>
        </w:tc>
      </w:tr>
      <w:tr w14:paraId="36FD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6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5891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Клиентская база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93D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до 20 000 клиентов</w:t>
            </w:r>
          </w:p>
        </w:tc>
      </w:tr>
    </w:tbl>
    <w:p w14:paraId="24A8536F">
      <w:pPr>
        <w:spacing w:after="120" w:line="240" w:lineRule="auto"/>
      </w:pPr>
    </w:p>
    <w:p w14:paraId="322AB72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До внедрения Системы учёт ведётся в бумажном журнале и электронных таблицах, квитанции заполняются вручную. Это приводит к следующим проблемам:</w:t>
      </w:r>
    </w:p>
    <w:p w14:paraId="73128FC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потеря сведений о неисправности и комплектности при передаче устройства от приёмщика мастеру;</w:t>
      </w:r>
    </w:p>
    <w:p w14:paraId="474055D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отсутствие у клиента актуальной информации о ходе ремонта, большое количество звонков;</w:t>
      </w:r>
    </w:p>
    <w:p w14:paraId="779FFC04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неучтённое использование запчастей, расхождения остатков склада;</w:t>
      </w:r>
    </w:p>
    <w:p w14:paraId="4787A679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ошибки при расчёте стоимости и отсутствие письменного согласования цены с клиентом.</w:t>
      </w:r>
    </w:p>
    <w:p w14:paraId="175CFB1D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4 Требования к системе</w:t>
      </w:r>
    </w:p>
    <w:p w14:paraId="227DDB5D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4.1 Требования к системе в целом</w:t>
      </w:r>
    </w:p>
    <w:p w14:paraId="1E3D563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Архитектура — трёхзвенная клиент-серверная: СУБД MySQL — сервер приложений (REST API на ASP.NET Core) — клиентские приложения (WPF для сотрудников, SPA на Vue для клиентов).</w:t>
      </w:r>
    </w:p>
    <w:p w14:paraId="5909CC57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Система строится по модульному принципу: четыре функциональные подсистемы («Приём заявок», «Управление ремонтом», «Склад запчастей», «Расчёты и документы»), а также личный кабинет клиента и подсистема администрирования и безопасности.</w:t>
      </w:r>
    </w:p>
    <w:p w14:paraId="3411075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Клиентские приложения обращаются к данным только через API; прямое подключение к БД из клиентских приложений запрещено.</w:t>
      </w:r>
    </w:p>
    <w:p w14:paraId="3C39348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 xml:space="preserve">Серверная часть поставляется в виде контейнеров Docker и запускается одной командой </w:t>
      </w:r>
      <w:r>
        <w:rPr>
          <w:rFonts w:ascii="Consolas" w:hAnsi="Consolas" w:eastAsia="Consolas" w:cs="Consolas"/>
          <w:sz w:val="24"/>
          <w:szCs w:val="24"/>
        </w:rPr>
        <w:t>docker compose up</w:t>
      </w:r>
      <w:r>
        <w:rPr>
          <w:rFonts w:ascii="Times New Roman" w:hAnsi="Times New Roman" w:eastAsia="Times New Roman" w:cs="Times New Roman"/>
        </w:rPr>
        <w:t>.</w:t>
      </w:r>
    </w:p>
    <w:p w14:paraId="40DA739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Время ответа API на типовые запросы — не более 1 секунды при 50 одновременно работающих пользователях.</w:t>
      </w:r>
    </w:p>
    <w:p w14:paraId="79B2AFE3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Режим работы личного кабинета — круглосуточный; рабочих мест сотрудников — в часы работы СЦ.</w:t>
      </w:r>
    </w:p>
    <w:p w14:paraId="5B8920CB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Общая архитектура Системы приведена на рисунке 1.</w:t>
      </w:r>
    </w:p>
    <w:p w14:paraId="69084556">
      <w:pPr>
        <w:keepNext/>
        <w:spacing w:before="120" w:after="60" w:line="240" w:lineRule="auto"/>
        <w:jc w:val="center"/>
      </w:pPr>
      <w:bookmarkStart w:id="0" w:name="_GoBack"/>
      <w:r>
        <w:drawing>
          <wp:inline distT="0" distB="0" distL="0" distR="0">
            <wp:extent cx="5943600" cy="3067050"/>
            <wp:effectExtent l="0" t="0" r="0" b="0"/>
            <wp:docPr id="1" name="architecture.png" descr="Архитектура ИС «СервисДеск»" title="Архитектура ИС «СервисДес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 descr="Архитектура ИС «СервисДеск»" title="Архитектура ИС «СервисДеск»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7D123F4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1 — Архитектура ИС «СервисДеск»</w:t>
      </w:r>
    </w:p>
    <w:p w14:paraId="406F77DB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4.2 Требования к функциональным подсистемам</w:t>
      </w:r>
    </w:p>
    <w:p w14:paraId="7E463D43">
      <w:pPr>
        <w:pStyle w:val="4"/>
        <w:keepNext/>
        <w:spacing w:before="120" w:after="60" w:line="360" w:lineRule="auto"/>
        <w:ind w:firstLine="709"/>
      </w:pPr>
      <w:r>
        <w:rPr>
          <w:rFonts w:ascii="Times New Roman" w:hAnsi="Times New Roman" w:eastAsia="Times New Roman" w:cs="Times New Roman"/>
        </w:rPr>
        <w:t>4.2.1 Подсистема «Приём заявок»</w:t>
      </w:r>
    </w:p>
    <w:p w14:paraId="6AFF9E50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поиск клиента по номеру телефона; при отсутствии — быстрая регистрация клиента (фамилия, имя, телефон);</w:t>
      </w:r>
    </w:p>
    <w:p w14:paraId="07A4FD4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регистрация устройства: тип, производитель, модель, серийный номер или IMEI;</w:t>
      </w:r>
    </w:p>
    <w:p w14:paraId="1ECFB5C9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фиксация заявленной неисправности, внешнего вида и комплектности при приёме (чек-лист);</w:t>
      </w:r>
    </w:p>
    <w:p w14:paraId="5A89219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назначение мастера и планового срока готовности, отметка гарантийного ремонта;</w:t>
      </w:r>
    </w:p>
    <w:p w14:paraId="40FC050D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присвоение заявке уникального номера, формирование и печать квитанции о приёме;</w:t>
      </w:r>
    </w:p>
    <w:p w14:paraId="14E21984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просмотр всех заявок с поиском по номеру или телефону и фильтром по статусу без права изменения хода ремонта.</w:t>
      </w:r>
    </w:p>
    <w:p w14:paraId="501A69C7">
      <w:pPr>
        <w:pStyle w:val="4"/>
        <w:keepNext/>
        <w:spacing w:before="120" w:after="60" w:line="360" w:lineRule="auto"/>
        <w:ind w:firstLine="709"/>
      </w:pPr>
      <w:r>
        <w:rPr>
          <w:rFonts w:ascii="Times New Roman" w:hAnsi="Times New Roman" w:eastAsia="Times New Roman" w:cs="Times New Roman"/>
        </w:rPr>
        <w:t>4.2.2 Подсистема «Управление ремонтом»</w:t>
      </w:r>
    </w:p>
    <w:p w14:paraId="6227271F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список заявок, назначенных мастеру, с выделением просроченных;</w:t>
      </w:r>
    </w:p>
    <w:p w14:paraId="50102D8F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проведение диагностики: заключение мастера, перечень работ (из прайс-листа или произвольных), требуемые запчасти;</w:t>
      </w:r>
    </w:p>
    <w:p w14:paraId="7F43A94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автоматический расчёт стоимости и передача сметы на согласование клиенту;</w:t>
      </w:r>
    </w:p>
    <w:p w14:paraId="7A5067FD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согласование или отклонение стоимости клиентом в личном кабинете с фиксацией даты решения;</w:t>
      </w:r>
    </w:p>
    <w:p w14:paraId="5732065E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ведение журнала работ и указание гарантийного срока на работы (0–36 месяцев);</w:t>
      </w:r>
    </w:p>
    <w:p w14:paraId="7D7D1377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смена статуса только по допустимым переходам жизненного цикла (п. 4.4) и только в пределах этапа своей роли;</w:t>
      </w:r>
    </w:p>
    <w:p w14:paraId="75298AF1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хранение истории статусов: кто, когда и с каким комментарием изменил статус.</w:t>
      </w:r>
    </w:p>
    <w:p w14:paraId="47A5332A">
      <w:pPr>
        <w:pStyle w:val="4"/>
        <w:keepNext/>
        <w:spacing w:before="120" w:after="60" w:line="360" w:lineRule="auto"/>
        <w:ind w:firstLine="709"/>
      </w:pPr>
      <w:r>
        <w:rPr>
          <w:rFonts w:ascii="Times New Roman" w:hAnsi="Times New Roman" w:eastAsia="Times New Roman" w:cs="Times New Roman"/>
        </w:rPr>
        <w:t>4.2.3 Подсистема «Склад запчастей»</w:t>
      </w:r>
    </w:p>
    <w:p w14:paraId="6ECB03C0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ведение номенклатуры: артикул, наименование, единица измерения, цена, ячейка хранения, неснижаемый остаток;</w:t>
      </w:r>
    </w:p>
    <w:p w14:paraId="770934A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оприходование поступивших запчастей с указанием документа поставки;</w:t>
      </w:r>
    </w:p>
    <w:p w14:paraId="32780D5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резервирование запчастей под заявку по запросу мастера; при нехватке остатка запрос получает статус «ожидает поступления», а заявка переводится в статус «Ожидание запчастей»;</w:t>
      </w:r>
    </w:p>
    <w:p w14:paraId="078FDB2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выдача зарезервированных деталей мастеру со списанием со склада под заявку;</w:t>
      </w:r>
    </w:p>
    <w:p w14:paraId="36FAD70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инвентаризация: ввод фактических остатков, автоматический расчёт расхождений и корректировка учёта;</w:t>
      </w:r>
    </w:p>
    <w:p w14:paraId="219FF2C0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журнал движения запчастей с отбором по позиции и типу операции, сигнализация о снижении остатка ниже минимального.</w:t>
      </w:r>
    </w:p>
    <w:p w14:paraId="0ECC315F">
      <w:pPr>
        <w:pStyle w:val="4"/>
        <w:keepNext/>
        <w:spacing w:before="120" w:after="60" w:line="360" w:lineRule="auto"/>
        <w:ind w:firstLine="709"/>
      </w:pPr>
      <w:r>
        <w:rPr>
          <w:rFonts w:ascii="Times New Roman" w:hAnsi="Times New Roman" w:eastAsia="Times New Roman" w:cs="Times New Roman"/>
        </w:rPr>
        <w:t>4.2.4 Подсистема «Расчёты и документы»</w:t>
      </w:r>
    </w:p>
    <w:p w14:paraId="534AF3D7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автоматическое формирование сметы из журнала работ и зарезервированных запчастей;</w:t>
      </w:r>
    </w:p>
    <w:p w14:paraId="4A63890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формирование документов в формате PDF: квитанция о приёме, смета, акт выполненных работ, акт выдачи;</w:t>
      </w:r>
    </w:p>
    <w:p w14:paraId="41BCA83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регистрация каждого документа в реестре с уникальным номером;</w:t>
      </w:r>
    </w:p>
    <w:p w14:paraId="05F9C293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приём оплаты наличными, банковской картой или через СБП, в том числе частичной, с контролем остатка к оплате;</w:t>
      </w:r>
    </w:p>
    <w:p w14:paraId="5F02509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выдача устройства только после полной оплаты (кроме гарантийных заявок и заявок с нулевой стоимостью).</w:t>
      </w:r>
    </w:p>
    <w:p w14:paraId="0B71CB70">
      <w:pPr>
        <w:pStyle w:val="4"/>
        <w:keepNext/>
        <w:spacing w:before="120" w:after="60" w:line="360" w:lineRule="auto"/>
        <w:ind w:firstLine="709"/>
      </w:pPr>
      <w:r>
        <w:rPr>
          <w:rFonts w:ascii="Times New Roman" w:hAnsi="Times New Roman" w:eastAsia="Times New Roman" w:cs="Times New Roman"/>
        </w:rPr>
        <w:t>4.2.5 Личный кабинет клиента</w:t>
      </w:r>
    </w:p>
    <w:p w14:paraId="30D738CE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регистрация и вход по номеру телефона или адресу электронной почты;</w:t>
      </w:r>
    </w:p>
    <w:p w14:paraId="5A095CC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ведение учётной записи: фамилия, имя, телефон, электронная почта;</w:t>
      </w:r>
    </w:p>
    <w:p w14:paraId="538618BB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список активных заявок и карточка заявки со шкалой этапов ремонта;</w:t>
      </w:r>
    </w:p>
    <w:p w14:paraId="4EF2563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получение изменений статуса в реальном времени без перезагрузки страницы;</w:t>
      </w:r>
    </w:p>
    <w:p w14:paraId="6D23DFC0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согласование или отклонение стоимости ремонта;</w:t>
      </w:r>
    </w:p>
    <w:p w14:paraId="75AA4AA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история заявок с итоговыми суммами, скачивание квитанции и акта выполненных работ.</w:t>
      </w:r>
    </w:p>
    <w:p w14:paraId="6EA75951">
      <w:pPr>
        <w:pStyle w:val="4"/>
        <w:keepNext/>
        <w:spacing w:before="120" w:after="60" w:line="360" w:lineRule="auto"/>
        <w:ind w:firstLine="709"/>
      </w:pPr>
      <w:r>
        <w:rPr>
          <w:rFonts w:ascii="Times New Roman" w:hAnsi="Times New Roman" w:eastAsia="Times New Roman" w:cs="Times New Roman"/>
        </w:rPr>
        <w:t>4.2.6 Подсистема администрирования и безопасности</w:t>
      </w:r>
    </w:p>
    <w:p w14:paraId="123C1863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хранение учётных записей клиентов и сотрудников с привязкой к роли;</w:t>
      </w:r>
    </w:p>
    <w:p w14:paraId="0811380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аутентификация по логину (телефон или e-mail) и паролю с выдачей JWT;</w:t>
      </w:r>
    </w:p>
    <w:p w14:paraId="2B25D4EF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блокировка входа на 15 минут после 5 неудачных попыток подряд;</w:t>
      </w:r>
    </w:p>
    <w:p w14:paraId="4B5C5BB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проверка прав доступа на сервере при каждом запросе.</w:t>
      </w:r>
    </w:p>
    <w:p w14:paraId="763F20DA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4.3 Требования к разграничению прав доступа</w:t>
      </w:r>
    </w:p>
    <w:p w14:paraId="050B520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поддерживает четыре роли пользователей. Матрица прав доступа приведена в таблице 2.</w:t>
      </w:r>
    </w:p>
    <w:p w14:paraId="562D09E8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2 — Матрица прав доступа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1417"/>
        <w:gridCol w:w="1474"/>
        <w:gridCol w:w="1474"/>
        <w:gridCol w:w="1474"/>
      </w:tblGrid>
      <w:tr w14:paraId="5E83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D23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Функция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F807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Клиент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2C1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Приёмщик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D5CD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Мастер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B97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Кладовщик</w:t>
            </w:r>
          </w:p>
        </w:tc>
      </w:tr>
      <w:tr w14:paraId="4692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29B3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Вход в систему, смена профиля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735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792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C357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37A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</w:tr>
      <w:tr w14:paraId="15199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B040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Просмотр заявок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46C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свои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A88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06C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назначенные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D5C5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04543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205B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Оформление заявки, назначение мастера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F9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DAC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6520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8F4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19AA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5CE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Диагностика, журнал работ, гарантия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9E4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44E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30A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4FE1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74FF7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8BC3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Смена статуса заявки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E6F6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согласование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348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выдача, отмена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BED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 пределах этапа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003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2B25F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6759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Согласование стоимости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442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D5C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D4B9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3C9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58C1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C92B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Запрос и резервирование запчастей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8DF7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3BA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7384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652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3BF5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31E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Оприходование, выдача деталей, инвентаризация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D1868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A440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B22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338CF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</w:tr>
      <w:tr w14:paraId="2F572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7DC9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История движения запчастей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5731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C372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68E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AB7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</w:tr>
      <w:tr w14:paraId="604B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A708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 оплаты, выдача устройства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52E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1A1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+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EEFD5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E9E4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  <w:tr w14:paraId="0485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5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A941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Документы PDF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90B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квитанция, смета, акт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E3D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6E6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смета, акт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9BD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</w:t>
            </w:r>
          </w:p>
        </w:tc>
      </w:tr>
    </w:tbl>
    <w:p w14:paraId="223924EE">
      <w:pPr>
        <w:spacing w:after="120" w:line="240" w:lineRule="auto"/>
      </w:pPr>
    </w:p>
    <w:p w14:paraId="10B98DAF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4.4 Жизненный цикл заявки</w:t>
      </w:r>
    </w:p>
    <w:p w14:paraId="5539DFE2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Статусы заявки и допустимые переходы между ними приведены в таблице 3 и на рисунке 2. Любой переход, не указанный в таблице, отклоняется сервером.</w:t>
      </w:r>
    </w:p>
    <w:p w14:paraId="67FC61E3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3 — Статусы заявки</w:t>
      </w:r>
    </w:p>
    <w:tbl>
      <w:tblPr>
        <w:tblStyle w:val="9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4"/>
        <w:gridCol w:w="2154"/>
        <w:gridCol w:w="1247"/>
        <w:gridCol w:w="2268"/>
        <w:gridCol w:w="3232"/>
      </w:tblGrid>
      <w:tr w14:paraId="5918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724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8953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Статус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1EC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Цвет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E1D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Кто устанавливает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6D8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Допустимые следующие статусы</w:t>
            </w:r>
          </w:p>
        </w:tc>
      </w:tr>
      <w:tr w14:paraId="6A3F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4854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DFA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Принята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A879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51B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#7A8794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AAE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 при оформлении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A44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Диагностика; Отменена</w:t>
            </w:r>
          </w:p>
        </w:tc>
      </w:tr>
      <w:tr w14:paraId="5981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0CB8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58B6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Диагностика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196F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7FBC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#2196F3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A401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4F81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Согласование с клиентом; В работе (для гарантийных); Отменена</w:t>
            </w:r>
          </w:p>
        </w:tc>
      </w:tr>
      <w:tr w14:paraId="687B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4EF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7176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Согласование с клиентом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9C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1E7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#F39C12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388F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 (смета готова)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2B304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 работе или Ожидание запчастей (клиент согласовал); Отменена (клиент отказался)</w:t>
            </w:r>
          </w:p>
        </w:tc>
      </w:tr>
      <w:tr w14:paraId="35C8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7BC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2207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Ожидание запчастей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5C51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AE0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#F5C518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6AAF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Система при нехватке деталей, мастер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A04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 работе; Отменена</w:t>
            </w:r>
          </w:p>
        </w:tc>
      </w:tr>
      <w:tr w14:paraId="4140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92E3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F5C8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 работе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E57C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83E6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#7E57C2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C3F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Мастер, система после согласования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779C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Ожидание запчастей; Готова к выдаче</w:t>
            </w:r>
          </w:p>
        </w:tc>
      </w:tr>
      <w:tr w14:paraId="4830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7C34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6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47CE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Готова к выдаче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7AE6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3B7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#27AE60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75CE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 (работы завершены)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23E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Выдана</w:t>
            </w:r>
          </w:p>
        </w:tc>
      </w:tr>
      <w:tr w14:paraId="43A2F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9AC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4C60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Выдана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E844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705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#1E8449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F1ED7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 после оплаты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BFF5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— (конечный статус)</w:t>
            </w:r>
          </w:p>
        </w:tc>
      </w:tr>
      <w:tr w14:paraId="711A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B0F4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8</w:t>
            </w:r>
          </w:p>
        </w:tc>
        <w:tc>
          <w:tcPr>
            <w:tcW w:w="2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5A96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Отменена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6DD3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#E74C3C</w:t>
            </w:r>
          </w:p>
        </w:tc>
        <w:tc>
          <w:tcPr>
            <w:tcW w:w="2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C6E7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Клиент (отказ), 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2AC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Выдана (возврат устройства клиенту)</w:t>
            </w:r>
          </w:p>
        </w:tc>
      </w:tr>
    </w:tbl>
    <w:p w14:paraId="5721511C">
      <w:pPr>
        <w:spacing w:after="120" w:line="240" w:lineRule="auto"/>
      </w:pPr>
    </w:p>
    <w:p w14:paraId="63302E95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Заявка, у которой плановый срок готовности истёк, а статус не является конечным, считается просроченной и дополнительно выделяется цветом #C0392B.</w:t>
      </w:r>
    </w:p>
    <w:p w14:paraId="64F78BDD"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943600" cy="914400"/>
            <wp:effectExtent l="0" t="0" r="0" b="0"/>
            <wp:docPr id="2" name="lifecycle.png" descr="Диаграмма состояний заявки" title="Диаграмма состояний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fecycle.png" descr="Диаграмма состояний заявки" title="Диаграмма состояний заявки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719E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2 — Диаграмма состояний заявки</w:t>
      </w:r>
    </w:p>
    <w:p w14:paraId="2FF2CC49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4.5 Требования к интерфейсам взаимодействия</w:t>
      </w:r>
    </w:p>
    <w:p w14:paraId="0B449D2D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обмен данными между клиентскими приложениями и сервером — REST API по протоколу HTTP(S), формат JSON в кодировке UTF-8;</w:t>
      </w:r>
    </w:p>
    <w:p w14:paraId="017D4C4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 xml:space="preserve">описание API публикуется в формате OpenAPI и доступно через Swagger UI по адресу </w:t>
      </w:r>
      <w:r>
        <w:rPr>
          <w:rFonts w:ascii="Consolas" w:hAnsi="Consolas" w:eastAsia="Consolas" w:cs="Consolas"/>
          <w:sz w:val="24"/>
          <w:szCs w:val="24"/>
        </w:rPr>
        <w:t>/swagger</w:t>
      </w:r>
      <w:r>
        <w:rPr>
          <w:rFonts w:ascii="Times New Roman" w:hAnsi="Times New Roman" w:eastAsia="Times New Roman" w:cs="Times New Roman"/>
        </w:rPr>
        <w:t>;</w:t>
      </w:r>
    </w:p>
    <w:p w14:paraId="12E409E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 xml:space="preserve">авторизация запросов — заголовок </w:t>
      </w:r>
      <w:r>
        <w:rPr>
          <w:rFonts w:ascii="Consolas" w:hAnsi="Consolas" w:eastAsia="Consolas" w:cs="Consolas"/>
          <w:sz w:val="24"/>
          <w:szCs w:val="24"/>
        </w:rPr>
        <w:t>Authorization: Bearer &lt;JWT&gt;</w:t>
      </w:r>
      <w:r>
        <w:rPr>
          <w:rFonts w:ascii="Times New Roman" w:hAnsi="Times New Roman" w:eastAsia="Times New Roman" w:cs="Times New Roman"/>
        </w:rPr>
        <w:t>;</w:t>
      </w:r>
    </w:p>
    <w:p w14:paraId="7ABB582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 xml:space="preserve">уведомления в реальном времени — хаб SignalR </w:t>
      </w:r>
      <w:r>
        <w:rPr>
          <w:rFonts w:ascii="Consolas" w:hAnsi="Consolas" w:eastAsia="Consolas" w:cs="Consolas"/>
          <w:sz w:val="24"/>
          <w:szCs w:val="24"/>
        </w:rPr>
        <w:t>/hubs/orders</w:t>
      </w:r>
      <w:r>
        <w:rPr>
          <w:rFonts w:ascii="Times New Roman" w:hAnsi="Times New Roman" w:eastAsia="Times New Roman" w:cs="Times New Roman"/>
        </w:rPr>
        <w:t xml:space="preserve">, событие </w:t>
      </w:r>
      <w:r>
        <w:rPr>
          <w:rFonts w:ascii="Consolas" w:hAnsi="Consolas" w:eastAsia="Consolas" w:cs="Consolas"/>
          <w:sz w:val="24"/>
          <w:szCs w:val="24"/>
        </w:rPr>
        <w:t>OrderUpdated</w:t>
      </w:r>
      <w:r>
        <w:rPr>
          <w:rFonts w:ascii="Times New Roman" w:hAnsi="Times New Roman" w:eastAsia="Times New Roman" w:cs="Times New Roman"/>
        </w:rPr>
        <w:t>;</w:t>
      </w:r>
    </w:p>
    <w:p w14:paraId="0E22CB67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документы передаются в формате PDF (</w:t>
      </w:r>
      <w:r>
        <w:rPr>
          <w:rFonts w:ascii="Consolas" w:hAnsi="Consolas" w:eastAsia="Consolas" w:cs="Consolas"/>
          <w:sz w:val="24"/>
          <w:szCs w:val="24"/>
        </w:rPr>
        <w:t>application/pdf</w:t>
      </w:r>
      <w:r>
        <w:rPr>
          <w:rFonts w:ascii="Times New Roman" w:hAnsi="Times New Roman" w:eastAsia="Times New Roman" w:cs="Times New Roman"/>
        </w:rPr>
        <w:t>);</w:t>
      </w:r>
    </w:p>
    <w:p w14:paraId="28609651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коды ответов: 200, 201, 204 — успех; 400 — ошибка валидации; 401 — не выполнен вход; 403 — нет прав; 404 — объект не найден; 409 — конфликт бизнес-правил (недопустимый переход статуса, недостаточный остаток); 423 — учётная запись временно заблокирована.</w:t>
      </w:r>
    </w:p>
    <w:p w14:paraId="7DEF7523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Основные методы API приведены в таблице 4.</w:t>
      </w:r>
    </w:p>
    <w:p w14:paraId="37887109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4 — Основные методы REST API</w:t>
      </w:r>
    </w:p>
    <w:tbl>
      <w:tblPr>
        <w:tblStyle w:val="9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22"/>
        <w:gridCol w:w="1701"/>
        <w:gridCol w:w="3232"/>
      </w:tblGrid>
      <w:tr w14:paraId="2AD0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643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Метод и адрес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1F7C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E6E6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Назначение</w:t>
            </w:r>
          </w:p>
        </w:tc>
      </w:tr>
      <w:tr w14:paraId="3419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BD9E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/api/auth/login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581AA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0B2C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Вход, получение JWT</w:t>
            </w:r>
          </w:p>
        </w:tc>
      </w:tr>
      <w:tr w14:paraId="74D7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BB34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/api/auth/register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59A0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клиент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E888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Регистрация клиента</w:t>
            </w:r>
          </w:p>
        </w:tc>
      </w:tr>
      <w:tr w14:paraId="0D00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A080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/api/auth/me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76A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444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Текущий пользователь</w:t>
            </w:r>
          </w:p>
        </w:tc>
      </w:tr>
      <w:tr w14:paraId="657F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6CBF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GET, PUT /api/profile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CBA3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клиент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6A3D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Просмотр и изменение профиля</w:t>
            </w:r>
          </w:p>
        </w:tc>
      </w:tr>
      <w:tr w14:paraId="605F2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88F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/api/dictionaries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E78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EC0E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Справочники: статусы, типы устройств, комплектность, услуги, мастера</w:t>
            </w:r>
          </w:p>
        </w:tc>
      </w:tr>
      <w:tr w14:paraId="3AFA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3EB9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/api/clients?phone=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4745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9B7F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Поиск клиента по телефону</w:t>
            </w:r>
          </w:p>
        </w:tc>
      </w:tr>
      <w:tr w14:paraId="49ED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DBAF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/api/orders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CE17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8BD7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Список заявок с учётом роли, поиск и фильтр</w:t>
            </w:r>
          </w:p>
        </w:tc>
      </w:tr>
      <w:tr w14:paraId="41CE3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4264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/api/orders/{id}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4AEF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E653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Карточка заявки</w:t>
            </w:r>
          </w:p>
        </w:tc>
      </w:tr>
      <w:tr w14:paraId="0A2DE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3B3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/api/orders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CFEA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0E66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Оформление заявки</w:t>
            </w:r>
          </w:p>
        </w:tc>
      </w:tr>
      <w:tr w14:paraId="1924E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944A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PUT /api/orders/{id}/master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2F98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ED4D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Назначение мастера</w:t>
            </w:r>
          </w:p>
        </w:tc>
      </w:tr>
      <w:tr w14:paraId="4D58E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D2B6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/api/orders/{id}/status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1172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мастер, 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8E49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Смена статуса</w:t>
            </w:r>
          </w:p>
        </w:tc>
      </w:tr>
      <w:tr w14:paraId="10B10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901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PUT /api/orders/{id}/diagnosis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4D1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E240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Заключение и гарантийный срок</w:t>
            </w:r>
          </w:p>
        </w:tc>
      </w:tr>
      <w:tr w14:paraId="03D80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6D7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POST, DELETE /api/orders/{id}/works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6355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A86B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Журнал работ</w:t>
            </w:r>
          </w:p>
        </w:tc>
      </w:tr>
      <w:tr w14:paraId="68B3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D8D7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POST, DELETE /api/orders/{id}/parts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E0D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мастер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88FF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Запрос и резерв запчастей</w:t>
            </w:r>
          </w:p>
        </w:tc>
      </w:tr>
      <w:tr w14:paraId="28C1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06E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/api/orders/{id}/decision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AD0C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клиент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7F66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Согласование или отказ</w:t>
            </w:r>
          </w:p>
        </w:tc>
      </w:tr>
      <w:tr w14:paraId="09DC8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9334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/api/orders/{id}/payments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2680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332E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 оплаты</w:t>
            </w:r>
          </w:p>
        </w:tc>
      </w:tr>
      <w:tr w14:paraId="2CF9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4E7F3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/api/orders/{id}/issue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2266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приёмщик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A97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Выдача устройства</w:t>
            </w:r>
          </w:p>
        </w:tc>
      </w:tr>
      <w:tr w14:paraId="34BEE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E79D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/api/orders/{id}/documents/{type}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8A7D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по роли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B608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PDF: receipt, estimate, act, issue</w:t>
            </w:r>
          </w:p>
        </w:tc>
      </w:tr>
      <w:tr w14:paraId="5A5A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E454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GET, POST, PUT /api/parts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863E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кладовщик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DCFF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Номенклатура и остатки</w:t>
            </w:r>
          </w:p>
        </w:tc>
      </w:tr>
      <w:tr w14:paraId="12D7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E8A6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POST /api/parts/{id}/receipt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553D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кладовщик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4CF4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Оприходование</w:t>
            </w:r>
          </w:p>
        </w:tc>
      </w:tr>
      <w:tr w14:paraId="4D98D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C5F4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/api/parts/requests, POST …/{id}/issue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3CA8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кладовщик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BBD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Запросы мастеров и выдача деталей</w:t>
            </w:r>
          </w:p>
        </w:tc>
      </w:tr>
      <w:tr w14:paraId="67F4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E73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 /api/parts/movements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C92A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кладовщик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6698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История движения запчастей</w:t>
            </w:r>
          </w:p>
        </w:tc>
      </w:tr>
      <w:tr w14:paraId="5384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8FD3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GET, POST /api/inventories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4959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кладовщик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7E7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Инвентаризация</w:t>
            </w:r>
          </w:p>
        </w:tc>
      </w:tr>
      <w:tr w14:paraId="68B0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546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WS /hubs/orders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A57D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все</w:t>
            </w:r>
          </w:p>
        </w:tc>
        <w:tc>
          <w:tcPr>
            <w:tcW w:w="3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9B538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События изменения заявок</w:t>
            </w:r>
          </w:p>
        </w:tc>
      </w:tr>
    </w:tbl>
    <w:p w14:paraId="38E3A5FF">
      <w:pPr>
        <w:spacing w:after="120" w:line="240" w:lineRule="auto"/>
      </w:pPr>
    </w:p>
    <w:p w14:paraId="3DAF8947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5 Требования к видам обеспечения</w:t>
      </w:r>
    </w:p>
    <w:p w14:paraId="422B834B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5.1 Математическое и алгоритмическое обеспечение</w:t>
      </w:r>
    </w:p>
    <w:p w14:paraId="7371FEE4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Итоговая стоимость заявки рассчитывается по формуле:</w:t>
      </w:r>
    </w:p>
    <w:p w14:paraId="14BDF3D3">
      <w:pPr>
        <w:spacing w:before="0" w:after="0" w:line="360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>S = Σ Ц(р)ᵢ + Σ Ц(з)ⱼ × Kⱼ,</w:t>
      </w:r>
    </w:p>
    <w:p w14:paraId="23470DE3">
      <w:pPr>
        <w:spacing w:before="0" w:after="0" w:line="360" w:lineRule="auto"/>
        <w:jc w:val="both"/>
      </w:pPr>
      <w:r>
        <w:rPr>
          <w:rFonts w:ascii="Times New Roman" w:hAnsi="Times New Roman" w:eastAsia="Times New Roman" w:cs="Times New Roman"/>
        </w:rPr>
        <w:t>где Ц(р)ᵢ — стоимость i-й работы из журнала работ; Ц(з)ⱼ — цена j-й запчасти на момент резервирования; Kⱼ — количество j-й запчасти (без учёта отменённых резервов). Для гарантийной заявки S = 0.</w:t>
      </w:r>
    </w:p>
    <w:p w14:paraId="79302AA5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остаток к оплате: S − Σ оплат по заявке; выдача разрешена при остатке, равном нулю;</w:t>
      </w:r>
    </w:p>
    <w:p w14:paraId="409E34C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доступный остаток запчасти: на складе − в резерве; резерв создаётся, если доступный остаток не меньше запрошенного количества;</w:t>
      </w:r>
    </w:p>
    <w:p w14:paraId="6F1F2823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расхождение инвентаризации: Δ = факт − учёт; при Δ ≠ 0 учётный остаток корректируется, операция записывается в журнал движения;</w:t>
      </w:r>
    </w:p>
    <w:p w14:paraId="5589DC5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признак просрочки: плановый срок &lt; текущей даты и статус не является конечным;</w:t>
      </w:r>
    </w:p>
    <w:p w14:paraId="2040F4EE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проверка смены статуса выполняется по таблице допустимых переходов (конечный автомат) с учётом роли пользователя;</w:t>
      </w:r>
    </w:p>
    <w:p w14:paraId="4D616C0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блокировка входа: после 5 неудачных попыток подряд вход запрещается на 15 минут, счётчик сбрасывается после успешного входа.</w:t>
      </w:r>
    </w:p>
    <w:p w14:paraId="09AE29C6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5.2 Информационное обеспечение</w:t>
      </w:r>
    </w:p>
    <w:p w14:paraId="31CE6044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СУБД — MySQL 8.0;</w:t>
      </w:r>
    </w:p>
    <w:p w14:paraId="53E408FD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БД содержит 18 таблиц и 2 представления; ссылочная целостность обеспечивается внешними ключами, корректность значений — ограничениями CHECK и UNIQUE;</w:t>
      </w:r>
    </w:p>
    <w:p w14:paraId="6379F22D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справочники: роли, статусы заявок, типы устройств, пункты комплектности, прайс-лист работ, номенклатура запчастей;</w:t>
      </w:r>
    </w:p>
    <w:p w14:paraId="4EF89CA1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срок хранения истории заявок и движения запчастей — не менее 5 лет;</w:t>
      </w:r>
    </w:p>
    <w:p w14:paraId="58318B98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складские и платёжные операции выполняются в транзакциях.</w:t>
      </w:r>
    </w:p>
    <w:p w14:paraId="17FD6C0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Подробное описание структуры БД приведено в документе «Структура базы данных».</w:t>
      </w:r>
    </w:p>
    <w:p w14:paraId="10DCC41F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5.3 Программное обеспечение</w:t>
      </w:r>
    </w:p>
    <w:p w14:paraId="44A2213E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5 — Программные средства</w:t>
      </w:r>
    </w:p>
    <w:tbl>
      <w:tblPr>
        <w:tblStyle w:val="9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6974"/>
      </w:tblGrid>
      <w:tr w14:paraId="0C1FB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B59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26E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Технологии и требования</w:t>
            </w:r>
          </w:p>
        </w:tc>
      </w:tr>
      <w:tr w14:paraId="7C9A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99C3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4D6F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MySQL 8.0</w:t>
            </w:r>
          </w:p>
        </w:tc>
      </w:tr>
      <w:tr w14:paraId="0905A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1D5F3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Сервер приложений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AC29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ASP.NET Core Web API, .NET 8 (LTS), Entity Framework Core 8 + Pomelo MySQL, JWT Bearer, BCrypt.Net, SignalR, QuestPDF, Swagger</w:t>
            </w:r>
          </w:p>
        </w:tc>
      </w:tr>
      <w:tr w14:paraId="03C1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3F38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Настольное приложение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6D0D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C#, WPF, .NET 8 Desktop Runtime; ОС Windows 10/11</w:t>
            </w:r>
          </w:p>
        </w:tc>
      </w:tr>
      <w:tr w14:paraId="6B67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6295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Веб-кабинет клиента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B80E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Vue 3, Vite, Vue Router, @microsoft/signalr; браузеры Chrome, Firefox, Edge, Яндекс.Браузер</w:t>
            </w:r>
          </w:p>
        </w:tc>
      </w:tr>
      <w:tr w14:paraId="61E76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4D34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Контейнеризация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DD6B7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Docker Engine 24+, Docker Compose v2, nginx (веб-сервер и обратный прокси)</w:t>
            </w:r>
          </w:p>
        </w:tc>
      </w:tr>
      <w:tr w14:paraId="0D30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B4BE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ОС сервера</w:t>
            </w:r>
          </w:p>
        </w:tc>
        <w:tc>
          <w:tcPr>
            <w:tcW w:w="69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FCCE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Linux (Ubuntu 22.04 и новее) или Windows 10/11 с Docker Desktop</w:t>
            </w:r>
          </w:p>
        </w:tc>
      </w:tr>
    </w:tbl>
    <w:p w14:paraId="50B005AE">
      <w:pPr>
        <w:spacing w:after="120" w:line="240" w:lineRule="auto"/>
      </w:pPr>
    </w:p>
    <w:p w14:paraId="2CAF96E3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5.4 Техническое обеспечение</w:t>
      </w:r>
    </w:p>
    <w:p w14:paraId="59FC525E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сервер: процессор от 2 ядер, ОЗУ от 4 ГБ, SSD от 40 ГБ;</w:t>
      </w:r>
    </w:p>
    <w:p w14:paraId="03A0DD5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рабочее место сотрудника: процессор от 2 ядер, ОЗУ от 4 ГБ, монитор с разрешением не ниже 1366×768, принтер формата A4 для печати квитанций и актов;</w:t>
      </w:r>
    </w:p>
    <w:p w14:paraId="2785F2B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устройство клиента: компьютер или смартфон с современным браузером, ширина экрана от 360 пикселей;</w:t>
      </w:r>
    </w:p>
    <w:p w14:paraId="1E65471A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сеть: локальная сеть 100 Мбит/с, доступ в Интернет для работы личного кабинета.</w:t>
      </w:r>
    </w:p>
    <w:p w14:paraId="182598CB">
      <w:pPr>
        <w:pStyle w:val="3"/>
        <w:keepNext/>
        <w:spacing w:before="240" w:after="120" w:line="360" w:lineRule="auto"/>
        <w:ind w:firstLine="709"/>
      </w:pPr>
      <w:r>
        <w:rPr>
          <w:rFonts w:ascii="Times New Roman" w:hAnsi="Times New Roman" w:eastAsia="Times New Roman" w:cs="Times New Roman"/>
        </w:rPr>
        <w:t>5.5 Требования к эргономике и технической эстетике</w:t>
      </w:r>
    </w:p>
    <w:p w14:paraId="795E31F6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Интерфейс всех приложений выполняется по единому руководству по стилю.</w:t>
      </w:r>
    </w:p>
    <w:p w14:paraId="5396D999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для всех окон задаётся системная иконка logo.png; на верхней панели размещается текстовый логотип: «Сервис» — белым, «Деск» — фирменным синим;</w:t>
      </w:r>
    </w:p>
    <w:p w14:paraId="448A9BD0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шрифт интерфейса — Segoe UI 14; заголовки разделов — Segoe UI Semibold 18; табличные данные — Segoe UI 13;</w:t>
      </w:r>
    </w:p>
    <w:p w14:paraId="4802FBB1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интерфейс строится на карточной системе: скругление окон и карточек — 8 пикселей, кнопок — 6 пикселей, лёгкие полупрозрачные тени;</w:t>
      </w:r>
    </w:p>
    <w:p w14:paraId="383C42F2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статусы заявок имеют строгую цветовую кодировку (таблица 3);</w:t>
      </w:r>
    </w:p>
    <w:p w14:paraId="11F4024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клиентская часть адаптивна, контрольные точки — 1200, 768 и 480 пикселей; рабочие места сотрудников рассчитаны на разрешение не ниже 1366×768.</w:t>
      </w:r>
    </w:p>
    <w:p w14:paraId="0902B69A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6 — Цветовая палитра интерфейса</w:t>
      </w:r>
    </w:p>
    <w:tbl>
      <w:tblPr>
        <w:tblStyle w:val="9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53"/>
        <w:gridCol w:w="1701"/>
        <w:gridCol w:w="1701"/>
      </w:tblGrid>
      <w:tr w14:paraId="30CC0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294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667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B52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Образец</w:t>
            </w:r>
          </w:p>
        </w:tc>
      </w:tr>
      <w:tr w14:paraId="019B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1039CC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Глобальный фон приложения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FA0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#F4F6F8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F6F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A17AA">
            <w:pPr>
              <w:spacing w:before="0" w:after="0" w:line="240" w:lineRule="auto"/>
              <w:jc w:val="left"/>
            </w:pPr>
          </w:p>
        </w:tc>
      </w:tr>
      <w:tr w14:paraId="7C78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99D1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Карточки, заявки, панели ввода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7C6A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F6CCF">
            <w:pPr>
              <w:spacing w:before="0" w:after="0" w:line="240" w:lineRule="auto"/>
              <w:jc w:val="left"/>
            </w:pPr>
          </w:p>
        </w:tc>
      </w:tr>
      <w:tr w14:paraId="66B2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4DC4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Верхняя навигационная панель и боковое меню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42B0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#1B2A41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B2A4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928BC">
            <w:pPr>
              <w:spacing w:before="0" w:after="0" w:line="240" w:lineRule="auto"/>
              <w:jc w:val="left"/>
            </w:pPr>
          </w:p>
        </w:tc>
      </w:tr>
      <w:tr w14:paraId="248E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A4BA4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Акцент: кнопки «Войти», «Сохранить», активные вкладки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6E9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#2D6CDF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D6CD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6BE33A">
            <w:pPr>
              <w:spacing w:before="0" w:after="0" w:line="240" w:lineRule="auto"/>
              <w:jc w:val="left"/>
            </w:pPr>
          </w:p>
        </w:tc>
      </w:tr>
      <w:tr w14:paraId="607C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90F7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Наведение на кнопку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B68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#2559B8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559B8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2EC07">
            <w:pPr>
              <w:spacing w:before="0" w:after="0" w:line="240" w:lineRule="auto"/>
              <w:jc w:val="left"/>
            </w:pPr>
          </w:p>
        </w:tc>
      </w:tr>
      <w:tr w14:paraId="2689B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F13C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Нажатие кнопки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D170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#1E4794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E479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657E8">
            <w:pPr>
              <w:spacing w:before="0" w:after="0" w:line="240" w:lineRule="auto"/>
              <w:jc w:val="left"/>
            </w:pPr>
          </w:p>
        </w:tc>
      </w:tr>
      <w:tr w14:paraId="35F6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71C8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Основной текст и заголовки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9E8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#212121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21212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43C3B">
            <w:pPr>
              <w:spacing w:before="0" w:after="0" w:line="240" w:lineRule="auto"/>
              <w:jc w:val="left"/>
            </w:pPr>
          </w:p>
        </w:tc>
      </w:tr>
      <w:tr w14:paraId="6A274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73576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Второстепенный текст, подписи, подсказки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423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#7A8794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A879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776D9">
            <w:pPr>
              <w:spacing w:before="0" w:after="0" w:line="240" w:lineRule="auto"/>
              <w:jc w:val="left"/>
            </w:pPr>
          </w:p>
        </w:tc>
      </w:tr>
      <w:tr w14:paraId="0E03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9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700D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Отмена, просрочка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715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#E74C3C / #C0392B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4C3C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3F3BE2">
            <w:pPr>
              <w:spacing w:before="0" w:after="0" w:line="240" w:lineRule="auto"/>
              <w:jc w:val="left"/>
            </w:pPr>
          </w:p>
        </w:tc>
      </w:tr>
    </w:tbl>
    <w:p w14:paraId="073D123D">
      <w:pPr>
        <w:spacing w:after="120" w:line="240" w:lineRule="auto"/>
      </w:pPr>
    </w:p>
    <w:p w14:paraId="1424A66E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6 Требования к надёжности и безопасности</w:t>
      </w:r>
    </w:p>
    <w:p w14:paraId="6160BAAB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Аутентификация — по JWT со сроком действия 12 часов; пароли хранятся только в виде хеша BCrypt; минимальная длина пароля — 8 символов, обязательно наличие букв и цифр.</w:t>
      </w:r>
    </w:p>
    <w:p w14:paraId="71CEE7FF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Защита от подбора пароля — блокировка учётной записи на 15 минут после 5 неудачных попыток входа подряд.</w:t>
      </w:r>
    </w:p>
    <w:p w14:paraId="50D8BF08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Ролевая модель доступа: права проверяются на сервере при каждом запросе; клиент получает доступ только к своим заявкам и документам.</w:t>
      </w:r>
    </w:p>
    <w:p w14:paraId="2DD69C13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Защита от SQL-инъекций — только параметризованные запросы средствами ORM; все входные данные проходят валидацию.</w:t>
      </w:r>
    </w:p>
    <w:p w14:paraId="2131B4FF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Целостность данных — транзакции для складских и платёжных операций; ограничения CHECK исключают отрицательные остатки и суммы.</w:t>
      </w:r>
    </w:p>
    <w:p w14:paraId="19F80FBA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Резервное копирование — ежедневная выгрузка БД (mysqldump) с хранением копий не менее 30 дней.</w:t>
      </w:r>
    </w:p>
    <w:p w14:paraId="5A4DB521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Восстановление после сбоя — автоматический перезапуск контейнеров, хранение данных СУБД в отдельном томе Docker.</w:t>
      </w:r>
    </w:p>
    <w:p w14:paraId="597AB34B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При публикации в Интернете доступ к Системе выполняется только по HTTPS.</w:t>
      </w:r>
    </w:p>
    <w:p w14:paraId="0F4765D0">
      <w:pPr>
        <w:pStyle w:val="16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Обработка персональных данных клиентов выполняется в соответствии с Федеральным законом № 152-ФЗ «О персональных данных».</w:t>
      </w:r>
    </w:p>
    <w:p w14:paraId="1D8E9D48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7 Этапы разработки</w:t>
      </w:r>
    </w:p>
    <w:p w14:paraId="54276319">
      <w:pPr>
        <w:keepNext/>
        <w:spacing w:before="120" w:after="60" w:line="360" w:lineRule="auto"/>
      </w:pPr>
      <w:r>
        <w:rPr>
          <w:rFonts w:ascii="Times New Roman" w:hAnsi="Times New Roman" w:eastAsia="Times New Roman" w:cs="Times New Roman"/>
        </w:rPr>
        <w:t>Таблица 7 — Этапы работ</w:t>
      </w:r>
    </w:p>
    <w:tbl>
      <w:tblPr>
        <w:tblStyle w:val="9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1247"/>
        <w:gridCol w:w="1247"/>
        <w:gridCol w:w="1928"/>
        <w:gridCol w:w="2551"/>
      </w:tblGrid>
      <w:tr w14:paraId="3D56C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6C04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241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Начало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051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Окончание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6F0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3EAF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1DB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Результат</w:t>
            </w:r>
          </w:p>
        </w:tc>
      </w:tr>
      <w:tr w14:paraId="7BB7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F63D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Сбор требований и ТЗ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E3C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01.09.2026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827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09.09.2026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4782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948C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Функциональные требования, техническое задание</w:t>
            </w:r>
          </w:p>
        </w:tc>
      </w:tr>
      <w:tr w14:paraId="5270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0C2D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Проектирование БД и Use Case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6D1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10.09.2026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688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14.09.2026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757A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FB017E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ER-диаграмма, диаграмма вариантов использования</w:t>
            </w:r>
          </w:p>
        </w:tc>
      </w:tr>
      <w:tr w14:paraId="67F0B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3F85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Прототипирование интерфейса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914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15.09.2026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6B27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20.09.2026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A0C9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0DCB2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Макеты экранных форм</w:t>
            </w:r>
          </w:p>
        </w:tc>
      </w:tr>
      <w:tr w14:paraId="3E63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4C3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Разработка бэкенда и API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473C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21.09.2026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58E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01.10.2026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7F231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4983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Контроллеры, авторизация, документация API</w:t>
            </w:r>
          </w:p>
        </w:tc>
      </w:tr>
      <w:tr w14:paraId="4D87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C99E0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Подсистемы приёма и ремонта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292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02.10.2026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84F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12.10.2026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3634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286F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Оформление заявок, жизненный цикл ремонта</w:t>
            </w:r>
          </w:p>
        </w:tc>
      </w:tr>
      <w:tr w14:paraId="30A26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D7D7D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Склад и личный кабинет клиента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C80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13.10.2026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420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17.10.2026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623A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27E4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Учёт запчастей, отслеживание статуса</w:t>
            </w:r>
          </w:p>
        </w:tc>
      </w:tr>
      <w:tr w14:paraId="3A85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FE41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Расчёты и документы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842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18.10.2026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317A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23.10.2026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1676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4942BB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Смета, акт выполненных работ, квитанция</w:t>
            </w:r>
          </w:p>
        </w:tc>
      </w:tr>
      <w:tr w14:paraId="41C1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A646F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Тестирование и отладка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192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24.10.2026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7B32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09.11.2026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12B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5FF6A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Протокол тестирования</w:t>
            </w:r>
          </w:p>
        </w:tc>
      </w:tr>
      <w:tr w14:paraId="5128A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44EF2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Документация и защита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E172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10.11.2026</w:t>
            </w:r>
          </w:p>
        </w:tc>
        <w:tc>
          <w:tcPr>
            <w:tcW w:w="12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1AE0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24.11.2026</w:t>
            </w:r>
          </w:p>
        </w:tc>
        <w:tc>
          <w:tcPr>
            <w:tcW w:w="1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88195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Баймуратов Д.А.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819F9"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Пояснительная записка, презентация</w:t>
            </w:r>
          </w:p>
        </w:tc>
      </w:tr>
    </w:tbl>
    <w:p w14:paraId="0BA2800D">
      <w:pPr>
        <w:spacing w:after="120" w:line="240" w:lineRule="auto"/>
      </w:pPr>
    </w:p>
    <w:p w14:paraId="37A97A0E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8 Порядок контроля и приёмки</w:t>
      </w:r>
    </w:p>
    <w:p w14:paraId="374A5AFC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Контроль качества выполняется на следующих уровнях:</w:t>
      </w:r>
    </w:p>
    <w:p w14:paraId="6A2D6D00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модульное тестирование бизнес-логики сервера (xUnit): жизненный цикл заявки, расчёт стоимости, складские операции, блокировка входа;</w:t>
      </w:r>
    </w:p>
    <w:p w14:paraId="4478BCB6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функциональное тестирование пользовательских сценариев всех ролей по протоколу тестирования;</w:t>
      </w:r>
    </w:p>
    <w:p w14:paraId="4A1A27FD">
      <w:pPr>
        <w:pStyle w:val="16"/>
        <w:numPr>
          <w:ilvl w:val="0"/>
          <w:numId w:val="2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проверка развёртывания серверной части средствами Docker Compose на чистой машине.</w:t>
      </w:r>
    </w:p>
    <w:p w14:paraId="42A9D91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Система считается принятой, если:</w:t>
      </w:r>
    </w:p>
    <w:p w14:paraId="46486A97">
      <w:pPr>
        <w:pStyle w:val="16"/>
        <w:numPr>
          <w:ilvl w:val="0"/>
          <w:numId w:val="4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реализованы все функции, перечисленные в п. 4.2, для всех ролей пользователей;</w:t>
      </w:r>
    </w:p>
    <w:p w14:paraId="518FE7C5">
      <w:pPr>
        <w:pStyle w:val="16"/>
        <w:numPr>
          <w:ilvl w:val="0"/>
          <w:numId w:val="4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все тест-кейсы протокола тестирования выполнены успешно;</w:t>
      </w:r>
    </w:p>
    <w:p w14:paraId="02D0BB9A">
      <w:pPr>
        <w:pStyle w:val="16"/>
        <w:numPr>
          <w:ilvl w:val="0"/>
          <w:numId w:val="4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 xml:space="preserve">серверная часть разворачивается командой </w:t>
      </w:r>
      <w:r>
        <w:rPr>
          <w:rFonts w:ascii="Consolas" w:hAnsi="Consolas" w:eastAsia="Consolas" w:cs="Consolas"/>
          <w:sz w:val="24"/>
          <w:szCs w:val="24"/>
        </w:rPr>
        <w:t>docker compose up</w:t>
      </w:r>
      <w:r>
        <w:rPr>
          <w:rFonts w:ascii="Times New Roman" w:hAnsi="Times New Roman" w:eastAsia="Times New Roman" w:cs="Times New Roman"/>
        </w:rPr>
        <w:t xml:space="preserve"> не более чем за 10 минут;</w:t>
      </w:r>
    </w:p>
    <w:p w14:paraId="1FEFB620">
      <w:pPr>
        <w:pStyle w:val="16"/>
        <w:numPr>
          <w:ilvl w:val="0"/>
          <w:numId w:val="4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интерфейс соответствует руководству по стилю (п. 5.5);</w:t>
      </w:r>
    </w:p>
    <w:p w14:paraId="36BD3529">
      <w:pPr>
        <w:pStyle w:val="16"/>
        <w:numPr>
          <w:ilvl w:val="0"/>
          <w:numId w:val="4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комплект документации соответствует разделу 9.</w:t>
      </w:r>
    </w:p>
    <w:p w14:paraId="4D004B0D">
      <w:pPr>
        <w:pStyle w:val="2"/>
        <w:keepNext/>
        <w:pageBreakBefore/>
        <w:spacing w:before="0" w:after="240" w:line="360" w:lineRule="auto"/>
        <w:ind w:firstLine="709"/>
      </w:pPr>
      <w:r>
        <w:rPr>
          <w:rFonts w:ascii="Times New Roman" w:hAnsi="Times New Roman" w:eastAsia="Times New Roman" w:cs="Times New Roman"/>
        </w:rPr>
        <w:t>9 Требования к документированию</w:t>
      </w:r>
    </w:p>
    <w:p w14:paraId="1C91F5C7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</w:rPr>
        <w:t>В комплект поставки входят:</w:t>
      </w:r>
    </w:p>
    <w:p w14:paraId="12622EBF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Техническое задание (настоящий документ).</w:t>
      </w:r>
    </w:p>
    <w:p w14:paraId="542379B1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Структура базы данных.</w:t>
      </w:r>
    </w:p>
    <w:p w14:paraId="20D78980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Модульная схема системы.</w:t>
      </w:r>
    </w:p>
    <w:p w14:paraId="16E79343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Протокол тестирования.</w:t>
      </w:r>
    </w:p>
    <w:p w14:paraId="69E70E82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Руководство пользователя для клиента, приёмщика, мастера и кладовщика.</w:t>
      </w:r>
    </w:p>
    <w:p w14:paraId="4576129D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Инструкция по развёртыванию (README) и описание API (Swagger / OpenAPI).</w:t>
      </w:r>
    </w:p>
    <w:p w14:paraId="65C11BB1">
      <w:pPr>
        <w:pStyle w:val="16"/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eastAsia="Times New Roman" w:cs="Times New Roman"/>
        </w:rPr>
        <w:t>Презентация проекта.</w:t>
      </w:r>
    </w:p>
    <w:p w14:paraId="153C3638">
      <w:pPr>
        <w:spacing w:line="360" w:lineRule="auto"/>
      </w:pPr>
    </w:p>
    <w:p w14:paraId="7FD91880">
      <w:pPr>
        <w:pStyle w:val="2"/>
        <w:keepNext/>
        <w:pageBreakBefore/>
        <w:spacing w:after="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ПРИЛОЖЕНИЕ А</w:t>
      </w:r>
    </w:p>
    <w:p w14:paraId="657B97B8">
      <w:pPr>
        <w:keepNext/>
        <w:spacing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Диаграмма вариантов использования</w:t>
      </w:r>
    </w:p>
    <w:p w14:paraId="5023E495"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943600" cy="4514850"/>
            <wp:effectExtent l="0" t="0" r="0" b="0"/>
            <wp:docPr id="3" name="use_case.png" descr="Диаграмма вариантов использования ИС «СервисДеск»" title="Диаграмма вариантов использования ИС «СервисДес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_case.png" descr="Диаграмма вариантов использования ИС «СервисДеск»" title="Диаграмма вариантов использования ИС «СервисДеск»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B5B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А.1 — Диаграмма вариантов использования ИС «СервисДеск»</w:t>
      </w:r>
    </w:p>
    <w:p w14:paraId="7A52C4B1">
      <w:pPr>
        <w:pStyle w:val="2"/>
        <w:keepNext/>
        <w:pageBreakBefore/>
        <w:spacing w:after="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ПРИЛОЖЕНИЕ Б</w:t>
      </w:r>
    </w:p>
    <w:p w14:paraId="58991420">
      <w:pPr>
        <w:keepNext/>
        <w:spacing w:after="24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Прототипы экранных форм</w:t>
      </w:r>
    </w:p>
    <w:p w14:paraId="590E590C"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943600" cy="3219450"/>
            <wp:effectExtent l="0" t="0" r="0" b="0"/>
            <wp:docPr id="4" name="proto_login.png" descr="Вход в систему и главное окно клиента" title="Вход в систему и главное окно кли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to_login.png" descr="Вход в систему и главное окно клиента" title="Вход в систему и главное окно клиента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4952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Б.1 — Вход в систему и главное окно клиента</w:t>
      </w:r>
    </w:p>
    <w:p w14:paraId="548A39AA"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943600" cy="3114675"/>
            <wp:effectExtent l="0" t="0" r="0" b="0"/>
            <wp:docPr id="5" name="proto_profile.png" descr="Личный кабинет и редактирование профиля" title="Личный кабинет и редактирование профи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to_profile.png" descr="Личный кабинет и редактирование профиля" title="Личный кабинет и редактирование профиля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E459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Б.2 — Личный кабинет и редактирование профиля</w:t>
      </w:r>
    </w:p>
    <w:p w14:paraId="09D8C316"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943600" cy="2819400"/>
            <wp:effectExtent l="0" t="0" r="0" b="0"/>
            <wp:docPr id="6" name="proto_orders.png" descr="Рабочее место приёмщика — список заявок" title="Рабочее место приёмщика — список заяв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roto_orders.png" descr="Рабочее место приёмщика — список заявок" title="Рабочее место приёмщика — список заявок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D7A2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Б.3 — Рабочее место приёмщика — список заявок</w:t>
      </w:r>
    </w:p>
    <w:p w14:paraId="064BBD31">
      <w:pPr>
        <w:keepNext/>
        <w:spacing w:before="120" w:after="60" w:line="240" w:lineRule="auto"/>
        <w:jc w:val="center"/>
      </w:pPr>
      <w:r>
        <w:drawing>
          <wp:inline distT="0" distB="0" distL="0" distR="0">
            <wp:extent cx="5943600" cy="3324225"/>
            <wp:effectExtent l="0" t="0" r="0" b="0"/>
            <wp:docPr id="7" name="proto_order.png" descr="Оформление новой заявки и карточка заявки" title="Оформление новой заявки и карточка зая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to_order.png" descr="Оформление новой заявки и карточка заявки" title="Оформление новой заявки и карточка заявки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AAAD">
      <w:pPr>
        <w:spacing w:before="60" w:after="240" w:line="360" w:lineRule="auto"/>
        <w:jc w:val="center"/>
      </w:pPr>
      <w:r>
        <w:rPr>
          <w:rFonts w:ascii="Times New Roman" w:hAnsi="Times New Roman" w:eastAsia="Times New Roman" w:cs="Times New Roman"/>
        </w:rPr>
        <w:t>Рисунок Б.4 — Оформление новой заявки и карточка заявки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AE97A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06701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E02D5">
    <w:pPr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446741"/>
    <w:multiLevelType w:val="singleLevel"/>
    <w:tmpl w:val="2C446741"/>
    <w:lvl w:ilvl="0" w:tentative="0">
      <w:start w:val="1"/>
      <w:numFmt w:val="decimal"/>
      <w:lvlText w:val="%1)"/>
      <w:lvlJc w:val="left"/>
      <w:pPr>
        <w:ind w:left="1129" w:hanging="420"/>
      </w:pPr>
      <w:rPr>
        <w:rFonts w:ascii="Times New Roman" w:hAnsi="Times New Roman" w:eastAsia="Times New Roman" w:cs="Times New Roman"/>
      </w:rPr>
    </w:lvl>
  </w:abstractNum>
  <w:abstractNum w:abstractNumId="1">
    <w:nsid w:val="5E249892"/>
    <w:multiLevelType w:val="singleLevel"/>
    <w:tmpl w:val="5E249892"/>
    <w:lvl w:ilvl="0" w:tentative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eastAsia="Times New Roman" w:cs="Times New Roman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A80783"/>
    <w:rsid w:val="69651F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2">
    <w:name w:val="heading 1"/>
    <w:next w:val="1"/>
    <w:qFormat/>
    <w:uiPriority w:val="0"/>
    <w:pPr>
      <w:spacing w:before="0" w:after="240"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60" w:line="360" w:lineRule="auto"/>
    </w:pPr>
    <w:rPr>
      <w:rFonts w:ascii="Times New Roman" w:hAnsi="Times New Roman" w:eastAsia="Times New Roman" w:cs="Times New Roman"/>
      <w:b/>
      <w:bCs/>
      <w:i/>
      <w:iCs/>
      <w:color w:val="000000"/>
      <w:sz w:val="28"/>
      <w:szCs w:val="28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00000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15">
    <w:name w:val="Title"/>
    <w:qFormat/>
    <w:uiPriority w:val="0"/>
    <w:pPr>
      <w:spacing w:line="360" w:lineRule="auto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2707</Words>
  <Characters>17615</Characters>
  <TotalTime>16</TotalTime>
  <ScaleCrop>false</ScaleCrop>
  <LinksUpToDate>false</LinksUpToDate>
  <CharactersWithSpaces>19825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2026-09-25T08:26:00Z</dcterms:created>
  <dc:creator>Баймуратов Д.А.</dc:creator>
  <dc:description>Техническое задание на создание ИС управления заявками в сервисный центр</dc:description>
  <cp:lastModifiedBy>X HYPIX</cp:lastModifiedBy>
  <dcterms:modified xsi:type="dcterms:W3CDTF">2026-09-25T08:56:26Z</dcterms:modified>
  <dc:subject>Техническое задание на создание ИС управления заявками в сервисный центр</dc:subject>
  <dc:title>Техническое задание — ИС «СервисДеск»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eyJoZGlkIjoiYTczZTY2YjRmMGM5ZDk2MjM1NjExNDU5YWNkZWM1NTkiLCJ1c2VySWQiOiIzNzI4NDYzNjY0Mzg2In0=</vt:lpwstr>
  </property>
  <property fmtid="{D5CDD505-2E9C-101B-9397-08002B2CF9AE}" pid="3" name="KSOProductBuildVer">
    <vt:lpwstr>1049-12.1.0.28485</vt:lpwstr>
  </property>
  <property fmtid="{D5CDD505-2E9C-101B-9397-08002B2CF9AE}" pid="4" name="ICV">
    <vt:lpwstr>FD3FB4D3083C468D855BAE210C377702_12</vt:lpwstr>
  </property>
</Properties>
</file>