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color w:val="000000"/>
          <w:sz w:val="36"/>
        </w:rPr>
        <w:t>信息管理系统综合实践项目  冷冻海产品溯源系统</w:t>
      </w:r>
    </w:p>
    <w:p>
      <w:pPr>
        <w:pStyle w:val="Heading1"/>
        <w:spacing w:before="320" w:after="160" w:line="288" w:lineRule="auto"/>
        <w:keepNext w:val="true"/>
      </w:pPr>
      <w:r>
        <w:rPr>
          <w:rFonts w:ascii="Times New Roman" w:hAnsi="Times New Roman" w:eastAsia="黑体"/>
          <w:b/>
          <w:color w:val="000000"/>
          <w:sz w:val="30"/>
        </w:rPr>
        <w:t>一 业务功能要求</w:t>
      </w:r>
    </w:p>
    <w:p>
      <w:pPr>
        <w:spacing w:before="0" w:after="120" w:line="324" w:lineRule="auto"/>
        <w:ind w:firstLine="420"/>
        <w:jc w:val="both"/>
      </w:pPr>
      <w:r>
        <w:rPr>
          <w:rFonts w:ascii="Times New Roman" w:hAnsi="Times New Roman" w:eastAsia="宋体"/>
          <w:b w:val="0"/>
          <w:color w:val="000000"/>
          <w:sz w:val="21"/>
        </w:rPr>
        <w:t>为了能够让更多的企业加入到冷冻海产品溯源体系中来，本系统采取低侵入式、甚至零侵入式的食品溯源方式。也就是在不改变成熟企业原有生产流程，并保证冷冻海产品流通中能够灵活进行分割与包装的基础上开发本系统，希望能够给更多的成熟水产品企业提供一套渐进式的食品溯源解决方案。</w:t>
      </w:r>
    </w:p>
    <w:p>
      <w:pPr>
        <w:spacing w:before="0" w:after="120" w:line="324" w:lineRule="auto"/>
        <w:ind w:firstLine="420"/>
        <w:jc w:val="both"/>
      </w:pPr>
      <w:r>
        <w:rPr>
          <w:rFonts w:ascii="Times New Roman" w:hAnsi="Times New Roman" w:eastAsia="宋体"/>
          <w:b w:val="0"/>
          <w:color w:val="000000"/>
          <w:sz w:val="21"/>
        </w:rPr>
        <w:t>本系统分为三端，各端的功能要求如下。</w:t>
      </w:r>
    </w:p>
    <w:p>
      <w:pPr>
        <w:pStyle w:val="Heading2"/>
        <w:spacing w:before="240" w:after="160" w:line="288" w:lineRule="auto"/>
        <w:keepNext w:val="true"/>
      </w:pPr>
      <w:r>
        <w:rPr>
          <w:rFonts w:ascii="Times New Roman" w:hAnsi="Times New Roman" w:eastAsia="黑体"/>
          <w:b/>
          <w:color w:val="000000"/>
          <w:sz w:val="26"/>
        </w:rPr>
        <w:t>1 系统管理端</w:t>
      </w:r>
    </w:p>
    <w:p>
      <w:pPr>
        <w:spacing w:before="0" w:after="120" w:line="324" w:lineRule="auto"/>
        <w:jc w:val="both"/>
      </w:pPr>
      <w:r>
        <w:rPr>
          <w:rFonts w:ascii="Times New Roman" w:hAnsi="Times New Roman" w:eastAsia="宋体"/>
          <w:b w:val="0"/>
          <w:color w:val="000000"/>
          <w:sz w:val="21"/>
        </w:rPr>
        <w:t>使用者：系统管理员。</w:t>
      </w:r>
    </w:p>
    <w:p>
      <w:pPr>
        <w:spacing w:before="0" w:after="60" w:line="312" w:lineRule="auto"/>
        <w:ind w:left="480" w:hanging="240"/>
      </w:pPr>
      <w:r>
        <w:rPr>
          <w:rFonts w:ascii="Times New Roman" w:hAnsi="Times New Roman" w:eastAsia="宋体"/>
          <w:b w:val="0"/>
          <w:color w:val="000000"/>
          <w:sz w:val="21"/>
        </w:rPr>
        <w:t>· 登录。</w:t>
      </w:r>
    </w:p>
    <w:p>
      <w:pPr>
        <w:spacing w:before="0" w:after="60" w:line="312" w:lineRule="auto"/>
        <w:ind w:left="480" w:hanging="240"/>
      </w:pPr>
      <w:r>
        <w:rPr>
          <w:rFonts w:ascii="Times New Roman" w:hAnsi="Times New Roman" w:eastAsia="宋体"/>
          <w:b w:val="0"/>
          <w:color w:val="000000"/>
          <w:sz w:val="21"/>
        </w:rPr>
        <w:t>· 节点企业注册。</w:t>
      </w:r>
    </w:p>
    <w:p>
      <w:pPr>
        <w:spacing w:before="0" w:after="60" w:line="312" w:lineRule="auto"/>
        <w:ind w:left="480" w:hanging="240"/>
      </w:pPr>
      <w:r>
        <w:rPr>
          <w:rFonts w:ascii="Times New Roman" w:hAnsi="Times New Roman" w:eastAsia="宋体"/>
          <w:b w:val="0"/>
          <w:color w:val="000000"/>
          <w:sz w:val="21"/>
        </w:rPr>
        <w:t>· 节点企业信息管理。</w:t>
      </w:r>
    </w:p>
    <w:p>
      <w:pPr>
        <w:spacing w:before="0" w:after="160" w:line="312" w:lineRule="auto"/>
        <w:ind w:left="480" w:hanging="240"/>
      </w:pPr>
      <w:r>
        <w:rPr>
          <w:rFonts w:ascii="Times New Roman" w:hAnsi="Times New Roman" w:eastAsia="宋体"/>
          <w:b w:val="0"/>
          <w:color w:val="000000"/>
          <w:sz w:val="21"/>
        </w:rPr>
        <w:t>· 数据统计：省分组注册节点企业数量分布、类型分组注册节点企业数量分布、十二个月内注册节点企业数量趋势。以上数据统计均使用可视化大屏展示。</w:t>
      </w:r>
    </w:p>
    <w:p>
      <w:pPr>
        <w:pStyle w:val="Heading2"/>
        <w:spacing w:before="240" w:after="160" w:line="288" w:lineRule="auto"/>
        <w:keepNext w:val="true"/>
      </w:pPr>
      <w:r>
        <w:rPr>
          <w:rFonts w:ascii="Times New Roman" w:hAnsi="Times New Roman" w:eastAsia="黑体"/>
          <w:b/>
          <w:color w:val="000000"/>
          <w:sz w:val="26"/>
        </w:rPr>
        <w:t>2 流通节点端</w:t>
      </w:r>
    </w:p>
    <w:p>
      <w:pPr>
        <w:spacing w:before="0" w:after="120" w:line="324" w:lineRule="auto"/>
        <w:jc w:val="both"/>
      </w:pPr>
      <w:r>
        <w:rPr>
          <w:rFonts w:ascii="Times New Roman" w:hAnsi="Times New Roman" w:eastAsia="宋体"/>
          <w:b w:val="0"/>
          <w:color w:val="000000"/>
          <w:sz w:val="21"/>
        </w:rPr>
        <w:t>使用者：捕捞与养殖企业、冷冻加工企业、批发商、零售商。</w:t>
      </w:r>
    </w:p>
    <w:p>
      <w:pPr>
        <w:spacing w:before="0" w:after="60" w:line="312" w:lineRule="auto"/>
        <w:ind w:left="480" w:hanging="240"/>
      </w:pPr>
      <w:r>
        <w:rPr>
          <w:rFonts w:ascii="Times New Roman" w:hAnsi="Times New Roman" w:eastAsia="宋体"/>
          <w:b w:val="0"/>
          <w:color w:val="000000"/>
          <w:sz w:val="21"/>
        </w:rPr>
        <w:t>· 捕捞与养殖企业：新建产品批号、管理产品批号、产品批号的发布与下架、下游企业请求确认。</w:t>
      </w:r>
    </w:p>
    <w:p>
      <w:pPr>
        <w:spacing w:before="0" w:after="60" w:line="312" w:lineRule="auto"/>
        <w:ind w:left="480" w:hanging="240"/>
      </w:pPr>
      <w:r>
        <w:rPr>
          <w:rFonts w:ascii="Times New Roman" w:hAnsi="Times New Roman" w:eastAsia="宋体"/>
          <w:b w:val="0"/>
          <w:color w:val="000000"/>
          <w:sz w:val="21"/>
        </w:rPr>
        <w:t>· 冷冻加工企业：新建产品批号、管理产品批号、产品批号的发布与下架、向上游企业提交进场确认请求、对下游企业请求进行确认。</w:t>
      </w:r>
    </w:p>
    <w:p>
      <w:pPr>
        <w:spacing w:before="0" w:after="60" w:line="312" w:lineRule="auto"/>
        <w:ind w:left="480" w:hanging="240"/>
      </w:pPr>
      <w:r>
        <w:rPr>
          <w:rFonts w:ascii="Times New Roman" w:hAnsi="Times New Roman" w:eastAsia="宋体"/>
          <w:b w:val="0"/>
          <w:color w:val="000000"/>
          <w:sz w:val="21"/>
        </w:rPr>
        <w:t>· 批发商：新建产品批号、管理产品批号、产品批号的发布与下架、冷链温度记录（入库温度、冷库温度、出库温度）、向上游企业提交进场确认请求、对下游企业请求进行确认。</w:t>
      </w:r>
    </w:p>
    <w:p>
      <w:pPr>
        <w:spacing w:before="0" w:after="160" w:line="312" w:lineRule="auto"/>
        <w:ind w:left="480" w:hanging="240"/>
      </w:pPr>
      <w:r>
        <w:rPr>
          <w:rFonts w:ascii="Times New Roman" w:hAnsi="Times New Roman" w:eastAsia="宋体"/>
          <w:b w:val="0"/>
          <w:color w:val="000000"/>
          <w:sz w:val="21"/>
        </w:rPr>
        <w:t>· 零售商：新建产品批号、管理产品批号、产品批号的发布与下架、向上游企业提交进场确认请求、获取溯源码并展示给消费者。</w:t>
      </w:r>
    </w:p>
    <w:p>
      <w:pPr>
        <w:pStyle w:val="Heading2"/>
        <w:spacing w:before="240" w:after="160" w:line="288" w:lineRule="auto"/>
        <w:keepNext w:val="true"/>
      </w:pPr>
      <w:r>
        <w:rPr>
          <w:rFonts w:ascii="Times New Roman" w:hAnsi="Times New Roman" w:eastAsia="黑体"/>
          <w:b/>
          <w:color w:val="000000"/>
          <w:sz w:val="26"/>
        </w:rPr>
        <w:t>3 消费者端</w:t>
      </w:r>
    </w:p>
    <w:p>
      <w:pPr>
        <w:spacing w:before="0" w:after="120" w:line="324" w:lineRule="auto"/>
        <w:jc w:val="both"/>
      </w:pPr>
      <w:r>
        <w:rPr>
          <w:rFonts w:ascii="Times New Roman" w:hAnsi="Times New Roman" w:eastAsia="宋体"/>
          <w:b w:val="0"/>
          <w:color w:val="000000"/>
          <w:sz w:val="21"/>
        </w:rPr>
        <w:t>使用者：消费者。</w:t>
      </w:r>
    </w:p>
    <w:p>
      <w:pPr>
        <w:spacing w:before="0" w:after="160" w:line="312" w:lineRule="auto"/>
        <w:ind w:left="480" w:hanging="240"/>
      </w:pPr>
      <w:r>
        <w:rPr>
          <w:rFonts w:ascii="Times New Roman" w:hAnsi="Times New Roman" w:eastAsia="宋体"/>
          <w:b w:val="0"/>
          <w:color w:val="000000"/>
          <w:sz w:val="21"/>
        </w:rPr>
        <w:t>· 根据零售商提供的溯源标识码获取冷冻海产品溯源信息。</w:t>
      </w:r>
    </w:p>
    <w:p>
      <w:pPr>
        <w:pStyle w:val="Heading1"/>
        <w:spacing w:before="320" w:after="160" w:line="288" w:lineRule="auto"/>
        <w:keepNext w:val="true"/>
      </w:pPr>
      <w:r>
        <w:rPr>
          <w:rFonts w:ascii="Times New Roman" w:hAnsi="Times New Roman" w:eastAsia="黑体"/>
          <w:b/>
          <w:color w:val="000000"/>
          <w:sz w:val="30"/>
        </w:rPr>
        <w:t>二 技术方向</w:t>
      </w:r>
    </w:p>
    <w:p>
      <w:pPr>
        <w:spacing w:before="0" w:after="120" w:line="324" w:lineRule="auto"/>
        <w:ind w:firstLine="420"/>
        <w:jc w:val="both"/>
      </w:pPr>
      <w:r>
        <w:rPr>
          <w:rFonts w:ascii="Times New Roman" w:hAnsi="Times New Roman" w:eastAsia="宋体"/>
          <w:b w:val="0"/>
          <w:color w:val="000000"/>
          <w:sz w:val="21"/>
        </w:rPr>
        <w:t>Java 互联网架构。</w:t>
      </w:r>
    </w:p>
    <w:p>
      <w:pPr>
        <w:pStyle w:val="Heading1"/>
        <w:spacing w:before="320" w:after="160" w:line="288" w:lineRule="auto"/>
        <w:keepNext w:val="true"/>
      </w:pPr>
      <w:r>
        <w:rPr>
          <w:rFonts w:ascii="Times New Roman" w:hAnsi="Times New Roman" w:eastAsia="黑体"/>
          <w:b/>
          <w:color w:val="000000"/>
          <w:sz w:val="30"/>
        </w:rPr>
        <w:t>三 技术架构要求</w:t>
      </w:r>
    </w:p>
    <w:p>
      <w:pPr>
        <w:spacing w:before="0" w:after="60" w:line="312" w:lineRule="auto"/>
        <w:ind w:left="480" w:hanging="240"/>
      </w:pPr>
      <w:r>
        <w:rPr>
          <w:rFonts w:ascii="Times New Roman" w:hAnsi="Times New Roman" w:eastAsia="宋体"/>
          <w:b w:val="0"/>
          <w:color w:val="000000"/>
          <w:sz w:val="21"/>
        </w:rPr>
        <w:t>· 前后端分离开发模式。</w:t>
      </w:r>
    </w:p>
    <w:p>
      <w:pPr>
        <w:spacing w:before="0" w:after="60" w:line="312" w:lineRule="auto"/>
        <w:ind w:left="480" w:hanging="240"/>
      </w:pPr>
      <w:r>
        <w:rPr>
          <w:rFonts w:ascii="Times New Roman" w:hAnsi="Times New Roman" w:eastAsia="宋体"/>
          <w:b w:val="0"/>
          <w:color w:val="000000"/>
          <w:sz w:val="21"/>
        </w:rPr>
        <w:t>· 前端开发框架：Vue3。</w:t>
      </w:r>
    </w:p>
    <w:p>
      <w:pPr>
        <w:spacing w:before="0" w:after="60" w:line="312" w:lineRule="auto"/>
        <w:ind w:left="480" w:hanging="240"/>
      </w:pPr>
      <w:r>
        <w:rPr>
          <w:rFonts w:ascii="Times New Roman" w:hAnsi="Times New Roman" w:eastAsia="宋体"/>
          <w:b w:val="0"/>
          <w:color w:val="000000"/>
          <w:sz w:val="21"/>
        </w:rPr>
        <w:t>· 前端 UI 框架：Element Plus、ECharts、font-awesome。</w:t>
      </w:r>
    </w:p>
    <w:p>
      <w:pPr>
        <w:spacing w:before="0" w:after="60" w:line="312" w:lineRule="auto"/>
        <w:ind w:left="480" w:hanging="240"/>
      </w:pPr>
      <w:r>
        <w:rPr>
          <w:rFonts w:ascii="Times New Roman" w:hAnsi="Times New Roman" w:eastAsia="宋体"/>
          <w:b w:val="0"/>
          <w:color w:val="000000"/>
          <w:sz w:val="21"/>
        </w:rPr>
        <w:t>· 后端开发框架：Spring Boot、MyBatis-Plus、JDK 17。</w:t>
      </w:r>
    </w:p>
    <w:p>
      <w:pPr>
        <w:spacing w:before="0" w:after="60" w:line="312" w:lineRule="auto"/>
        <w:ind w:left="480" w:hanging="240"/>
      </w:pPr>
      <w:r>
        <w:rPr>
          <w:rFonts w:ascii="Times New Roman" w:hAnsi="Times New Roman" w:eastAsia="宋体"/>
          <w:b w:val="0"/>
          <w:color w:val="000000"/>
          <w:sz w:val="21"/>
        </w:rPr>
        <w:t>· 前后端交互：Axios。</w:t>
      </w:r>
    </w:p>
    <w:p>
      <w:pPr>
        <w:spacing w:before="0" w:after="160" w:line="312" w:lineRule="auto"/>
        <w:ind w:left="480" w:hanging="240"/>
      </w:pPr>
      <w:r>
        <w:rPr>
          <w:rFonts w:ascii="Times New Roman" w:hAnsi="Times New Roman" w:eastAsia="宋体"/>
          <w:b w:val="0"/>
          <w:color w:val="000000"/>
          <w:sz w:val="21"/>
        </w:rPr>
        <w:t>· 数据库：MySQL。</w:t>
      </w: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4"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line="300" w:lineRule="auto"/>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line="300" w:lineRule="auto"/>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line="300" w:lineRule="auto"/>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60" w:line="300" w:lineRule="auto"/>
      <w:outlineLvl w:val="3"/>
    </w:pPr>
    <w:rPr>
      <w:rFonts w:asciiTheme="majorHAnsi" w:eastAsiaTheme="majorEastAsia" w:hAnsiTheme="majorHAnsi" w:cstheme="majorBidi" w:ascii="Times New Roman" w:hAnsi="Times New Roman" w:eastAsia="黑体"/>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