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w:t>
      </w:r>
      <w:r>
        <w:rPr>
          <w:rFonts w:hint="eastAsia"/>
          <w:sz w:val="24"/>
          <w:szCs w:val="24"/>
          <w:lang w:val="en-US" w:eastAsia="zh-CN"/>
        </w:rPr>
        <w:t>数据分析</w:t>
      </w:r>
      <w:r>
        <w:rPr>
          <w:rFonts w:hint="eastAsia"/>
          <w:sz w:val="24"/>
          <w:szCs w:val="24"/>
        </w:rPr>
        <w:t>和数据优化模型，为足球教练和球员的训练提供策略。</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Firstly</w:t>
      </w:r>
      <w:r>
        <w:rPr>
          <w:rFonts w:hint="eastAsia"/>
          <w:sz w:val="24"/>
          <w:szCs w:val="24"/>
        </w:rPr>
        <w:t>，根据图论知识，在球员之间</w:t>
      </w:r>
      <w:r>
        <w:rPr>
          <w:rFonts w:hint="eastAsia"/>
          <w:sz w:val="24"/>
          <w:szCs w:val="24"/>
          <w:lang w:val="en-US" w:eastAsia="zh-CN"/>
        </w:rPr>
        <w:t>建立传球</w:t>
      </w:r>
      <w:r>
        <w:rPr>
          <w:rFonts w:hint="eastAsia"/>
          <w:sz w:val="24"/>
          <w:szCs w:val="24"/>
        </w:rPr>
        <w:t>网络，每个球员都是一个节点，每一次传球便将球员连接起来。</w:t>
      </w:r>
      <w:r>
        <w:rPr>
          <w:rFonts w:hint="eastAsia"/>
          <w:sz w:val="24"/>
          <w:szCs w:val="24"/>
          <w:lang w:val="en-US" w:eastAsia="zh-CN"/>
        </w:rPr>
        <w:t>为了建立传球网络，我们将</w:t>
      </w:r>
      <w:r>
        <w:rPr>
          <w:rFonts w:hint="eastAsia"/>
          <w:sz w:val="24"/>
          <w:szCs w:val="24"/>
        </w:rPr>
        <w:t>球员之间传球次数用数组记录下来，在每一场球赛中，数组大小为14*14，在一个赛季中，数组大小为30*30。</w:t>
      </w:r>
      <w:r>
        <w:rPr>
          <w:rFonts w:hint="eastAsia"/>
          <w:sz w:val="24"/>
          <w:szCs w:val="24"/>
          <w:lang w:val="en-US" w:eastAsia="zh-CN"/>
        </w:rPr>
        <w:t>我们对几种传球类型赋予权重，称之为边权。微观上，我们建立单次传球的价值评价模型，用于评价两两球员间传球的配合程度。宏观上我们建立时间尺度上的价值模型，用于评价时间对传球效率的影响。</w:t>
      </w:r>
    </w:p>
    <w:p>
      <w:pPr>
        <w:pStyle w:val="16"/>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Secondly</w:t>
      </w:r>
      <w:r>
        <w:rPr>
          <w:rFonts w:hint="eastAsia"/>
          <w:sz w:val="24"/>
          <w:szCs w:val="24"/>
        </w:rPr>
        <w:t>，</w:t>
      </w:r>
      <w:r>
        <w:rPr>
          <w:rFonts w:hint="eastAsia"/>
          <w:sz w:val="24"/>
          <w:szCs w:val="24"/>
          <w:lang w:val="en-US" w:eastAsia="zh-CN"/>
        </w:rPr>
        <w:t>我们将反映成功团队合作的绩效指标划分为动态指标和静态指标。动态指标包括球员位置安排和球队阵型（line-up），我们建立球员赛季热点模型和球员分布模型。静态指标包括opponents，side，coach，passes，defence，attack and fail。我们对静态指标之间进行相关性分析后，建立静态指标的多样性评价模型。</w:t>
      </w:r>
    </w:p>
    <w:p>
      <w:pPr>
        <w:spacing w:line="360" w:lineRule="auto"/>
        <w:ind w:firstLine="420"/>
        <w:rPr>
          <w:rFonts w:hint="default" w:eastAsiaTheme="minorEastAsia"/>
          <w:sz w:val="24"/>
          <w:szCs w:val="24"/>
          <w:lang w:val="en-US" w:eastAsia="zh-CN"/>
        </w:rPr>
      </w:pPr>
      <w:r>
        <w:rPr>
          <w:rFonts w:hint="eastAsia"/>
          <w:sz w:val="24"/>
          <w:szCs w:val="24"/>
          <w:lang w:val="en-US" w:eastAsia="zh-CN"/>
        </w:rPr>
        <w:t>Thirdly</w:t>
      </w:r>
      <w:r>
        <w:rPr>
          <w:rFonts w:hint="eastAsia"/>
          <w:sz w:val="24"/>
          <w:szCs w:val="24"/>
        </w:rPr>
        <w:t>，</w:t>
      </w:r>
      <w:r>
        <w:rPr>
          <w:rFonts w:hint="eastAsia"/>
          <w:sz w:val="24"/>
          <w:szCs w:val="24"/>
          <w:lang w:val="en-US" w:eastAsia="zh-CN"/>
        </w:rPr>
        <w:t>球队的结构策略包括了静态指标和动态指标。通过问题1,2中建立的模型进行观察分析，我们认为静态指标对球队的胜利起到关键作用，综合考虑球员位置安排和单次传球的价值评价，建立不同球员在不同位置价值评价模型。分析整个赛季的球队阵型可得出哈士奇球队常用的几种阵型。我们通过模拟退火算法，建立。。。模型，最终给出了首发阵容阵型图。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rFonts w:hint="default"/>
          <w:sz w:val="24"/>
          <w:szCs w:val="24"/>
          <w:lang w:val="en-US" w:eastAsia="zh-CN"/>
        </w:rPr>
      </w:pPr>
      <w:r>
        <w:rPr>
          <w:rFonts w:hint="eastAsia"/>
          <w:sz w:val="24"/>
          <w:szCs w:val="24"/>
          <w:lang w:val="en-US" w:eastAsia="zh-CN"/>
        </w:rPr>
        <w:t>Finally</w:t>
      </w:r>
      <w:r>
        <w:rPr>
          <w:rFonts w:hint="eastAsia"/>
          <w:sz w:val="24"/>
          <w:szCs w:val="24"/>
        </w:rPr>
        <w:t>，</w:t>
      </w:r>
      <w:r>
        <w:rPr>
          <w:rFonts w:hint="eastAsia"/>
          <w:sz w:val="24"/>
          <w:szCs w:val="24"/>
          <w:lang w:val="en-US" w:eastAsia="zh-CN"/>
        </w:rPr>
        <w:t>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pPr>
      <w:r>
        <w:rPr>
          <w:rFonts w:hint="eastAsia"/>
        </w:rPr>
        <w:t>3.Terminology</w:t>
      </w:r>
    </w:p>
    <w:p>
      <w:pPr>
        <w:pStyle w:val="2"/>
        <w:rPr>
          <w:kern w:val="2"/>
        </w:rPr>
      </w:pPr>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504055"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4518018" cy="4822713"/>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w:bookmarkStart w:id="3" w:name="_Hlk32825785"/>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w:bookmarkEnd w:id="3"/>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考虑完主要策略后，我们考虑以下四个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bookmarkStart w:id="7" w:name="_GoBack"/>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0</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2020-02-17T05:23:21Z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